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3350" w14:textId="55F8F3BE" w:rsidR="000F1C6C" w:rsidRDefault="00D8523E" w:rsidP="00983F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Physicochemical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characterization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antibacterial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activity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alginate-encapsulated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oils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i/>
          <w:iCs/>
          <w:sz w:val="24"/>
          <w:szCs w:val="24"/>
        </w:rPr>
        <w:t>Origanum</w:t>
      </w:r>
      <w:proofErr w:type="spellEnd"/>
      <w:r w:rsidRPr="00D852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i/>
          <w:iCs/>
          <w:sz w:val="24"/>
          <w:szCs w:val="24"/>
        </w:rPr>
        <w:t>vulgare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4A8">
        <w:rPr>
          <w:rFonts w:ascii="Times New Roman" w:hAnsi="Times New Roman" w:cs="Times New Roman"/>
          <w:sz w:val="24"/>
          <w:szCs w:val="24"/>
        </w:rPr>
        <w:t>L.</w:t>
      </w:r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i/>
          <w:iCs/>
          <w:sz w:val="24"/>
          <w:szCs w:val="24"/>
        </w:rPr>
        <w:t>Thymus</w:t>
      </w:r>
      <w:proofErr w:type="spellEnd"/>
      <w:r w:rsidRPr="00D852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i/>
          <w:iCs/>
          <w:sz w:val="24"/>
          <w:szCs w:val="24"/>
        </w:rPr>
        <w:t>vulgaris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4A8">
        <w:rPr>
          <w:rFonts w:ascii="Times New Roman" w:hAnsi="Times New Roman" w:cs="Times New Roman"/>
          <w:sz w:val="24"/>
          <w:szCs w:val="24"/>
        </w:rPr>
        <w:t>L.</w:t>
      </w:r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against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canine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feline</w:t>
      </w:r>
      <w:proofErr w:type="spellEnd"/>
      <w:r w:rsidRPr="00D85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523E">
        <w:rPr>
          <w:rFonts w:ascii="Times New Roman" w:hAnsi="Times New Roman" w:cs="Times New Roman"/>
          <w:b/>
          <w:bCs/>
          <w:sz w:val="24"/>
          <w:szCs w:val="24"/>
        </w:rPr>
        <w:t>uropathogens</w:t>
      </w:r>
      <w:proofErr w:type="spellEnd"/>
    </w:p>
    <w:p w14:paraId="3BA08DA0" w14:textId="77777777" w:rsidR="00D8523E" w:rsidRDefault="00D8523E" w:rsidP="00983F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8F501" w14:textId="77777777" w:rsidR="007D13C3" w:rsidRDefault="007D13C3" w:rsidP="00983F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D13C3" w:rsidSect="00AB3201">
          <w:footerReference w:type="default" r:id="rId7"/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14:paraId="064B757D" w14:textId="5A715530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>Camilla Torres Pereira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17E6E420" w14:textId="180439AB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8" w:history="1">
        <w:r w:rsidRPr="00835841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https://orcid.org/0000-0002-5686-1841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5D72" w14:textId="668089D6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835841">
          <w:rPr>
            <w:rStyle w:val="Hyperlink"/>
            <w:rFonts w:ascii="Times New Roman" w:hAnsi="Times New Roman" w:cs="Times New Roman"/>
            <w:sz w:val="24"/>
            <w:szCs w:val="24"/>
          </w:rPr>
          <w:t>camilla.torres.cb@gmail.com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F8C45" w14:textId="77777777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>Bernadete Santos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0F651334" w14:textId="2C98A014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10" w:history="1">
        <w:r w:rsidR="00983FFF" w:rsidRPr="00983FFF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https://orcid.org/0000-0003-4234-4752</w:t>
        </w:r>
      </w:hyperlink>
      <w:r w:rsidR="00983FFF" w:rsidRPr="00983F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9E6717" w14:textId="4882A2D3" w:rsidR="00983FFF" w:rsidRPr="00983FFF" w:rsidRDefault="0071010E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983FFF" w:rsidRPr="00983FFF">
          <w:rPr>
            <w:rStyle w:val="Hyperlink"/>
            <w:rFonts w:ascii="Times New Roman" w:hAnsi="Times New Roman" w:cs="Times New Roman"/>
            <w:sz w:val="24"/>
            <w:szCs w:val="24"/>
          </w:rPr>
          <w:t>bernadetes672@gmail.com</w:t>
        </w:r>
      </w:hyperlink>
      <w:r w:rsidR="00983FFF" w:rsidRPr="00983F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E5B5D8" w14:textId="77777777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>Mylena Medeiros Simões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2D7E0D2A" w14:textId="72235C64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12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https://orcid.org/0000-0002-0654-4733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BDB19" w14:textId="1DFE27F2" w:rsidR="00983FFF" w:rsidRPr="00983FFF" w:rsidRDefault="002B587F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hyperlink r:id="rId13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mylenamedeirossimoes@gmail.com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13BED" w14:textId="77777777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>Millena de Souza Alves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3E84D7E0" w14:textId="1136FD62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14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https://orcid.org/0000-0002-7981-7608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A91FB" w14:textId="2BFCCFF7" w:rsidR="00983FFF" w:rsidRPr="00983FFF" w:rsidRDefault="0071010E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5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millenaasouzaa@gmail.com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F0958" w14:textId="77777777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>Fernanda Matias Cariri Marques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5A3679E4" w14:textId="2D36D2BA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16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https://orcid.org/0000-0001-5571-1596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26D85" w14:textId="66656A83" w:rsidR="00983FFF" w:rsidRPr="008D050B" w:rsidRDefault="0071010E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7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fernandacariri20@gmail.com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55658" w14:textId="77777777" w:rsidR="0071010E" w:rsidRDefault="00983FFF" w:rsidP="00710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>Maria Alice Araújo de Medeiros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74607629" w14:textId="2C112886" w:rsidR="00983FFF" w:rsidRPr="0071010E" w:rsidRDefault="0071010E" w:rsidP="00710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 w:rsidR="00A25B32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A25B32" w:rsidRPr="00E83B0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https://orcid.org/0000-0001-5563-7955</w:t>
        </w:r>
      </w:hyperlink>
    </w:p>
    <w:p w14:paraId="33A20C04" w14:textId="7C50BC12" w:rsidR="00983FFF" w:rsidRPr="00983FFF" w:rsidRDefault="0071010E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9" w:history="1">
        <w:r w:rsidRPr="00835841">
          <w:rPr>
            <w:rStyle w:val="Hyperlink"/>
            <w:rFonts w:ascii="Times New Roman" w:hAnsi="Times New Roman" w:cs="Times New Roman"/>
            <w:sz w:val="24"/>
            <w:szCs w:val="24"/>
          </w:rPr>
          <w:t>medeirosallice22@gmail.com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3B883" w14:textId="77777777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 xml:space="preserve">João Henrique </w:t>
      </w:r>
      <w:proofErr w:type="spellStart"/>
      <w:r w:rsidRPr="00983FFF">
        <w:rPr>
          <w:rFonts w:ascii="Times New Roman" w:hAnsi="Times New Roman" w:cs="Times New Roman"/>
          <w:b/>
          <w:bCs/>
          <w:sz w:val="24"/>
          <w:szCs w:val="24"/>
        </w:rPr>
        <w:t>Anizio</w:t>
      </w:r>
      <w:proofErr w:type="spellEnd"/>
      <w:r w:rsidRPr="00983FFF">
        <w:rPr>
          <w:rFonts w:ascii="Times New Roman" w:hAnsi="Times New Roman" w:cs="Times New Roman"/>
          <w:b/>
          <w:bCs/>
          <w:sz w:val="24"/>
          <w:szCs w:val="24"/>
        </w:rPr>
        <w:t xml:space="preserve"> de Farias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0BBA693D" w14:textId="0C03CF04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20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https://orcid.org/0000-0003-0843-2142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63EF01" w14:textId="549DF91E" w:rsidR="00983FFF" w:rsidRPr="00983FFF" w:rsidRDefault="0071010E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1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henriqueanizio7@gmail.com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4A26C" w14:textId="428AC219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3FFF">
        <w:rPr>
          <w:rFonts w:ascii="Times New Roman" w:hAnsi="Times New Roman" w:cs="Times New Roman"/>
          <w:b/>
          <w:bCs/>
          <w:sz w:val="24"/>
          <w:szCs w:val="24"/>
        </w:rPr>
        <w:t>Wladymyr</w:t>
      </w:r>
      <w:proofErr w:type="spellEnd"/>
      <w:r w:rsidRPr="00983FFF">
        <w:rPr>
          <w:rFonts w:ascii="Times New Roman" w:hAnsi="Times New Roman" w:cs="Times New Roman"/>
          <w:b/>
          <w:bCs/>
          <w:sz w:val="24"/>
          <w:szCs w:val="24"/>
        </w:rPr>
        <w:t xml:space="preserve"> Jefferson Bacalhau de</w:t>
      </w:r>
      <w:r w:rsidR="000F1C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FFF">
        <w:rPr>
          <w:rFonts w:ascii="Times New Roman" w:hAnsi="Times New Roman" w:cs="Times New Roman"/>
          <w:b/>
          <w:bCs/>
          <w:sz w:val="24"/>
          <w:szCs w:val="24"/>
        </w:rPr>
        <w:t>Sousa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4D67F7C1" w14:textId="6C43DEFC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22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https://orcid.org/0000-0002-3931-8265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87DE2" w14:textId="37BAD29B" w:rsidR="00983FFF" w:rsidRPr="00983FFF" w:rsidRDefault="0071010E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Wladymyrjb@gmail.com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22079D" w14:textId="77777777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3FFF">
        <w:rPr>
          <w:rFonts w:ascii="Times New Roman" w:hAnsi="Times New Roman" w:cs="Times New Roman"/>
          <w:b/>
          <w:bCs/>
          <w:sz w:val="24"/>
          <w:szCs w:val="24"/>
        </w:rPr>
        <w:t>Albaniza</w:t>
      </w:r>
      <w:proofErr w:type="spellEnd"/>
      <w:r w:rsidRPr="00983FFF">
        <w:rPr>
          <w:rFonts w:ascii="Times New Roman" w:hAnsi="Times New Roman" w:cs="Times New Roman"/>
          <w:b/>
          <w:bCs/>
          <w:sz w:val="24"/>
          <w:szCs w:val="24"/>
        </w:rPr>
        <w:t xml:space="preserve"> Alves Tavares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1D8AFAF0" w14:textId="4FBB3B47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24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https://orcid.org/0000-0003-1412-4787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9880D" w14:textId="6CAD8764" w:rsidR="00983FFF" w:rsidRPr="00983FFF" w:rsidRDefault="0071010E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5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albaniza.alves@gmail.com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543C7" w14:textId="77777777" w:rsidR="00983FFF" w:rsidRPr="00983FFF" w:rsidRDefault="00983FFF" w:rsidP="000F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3FFF">
        <w:rPr>
          <w:rFonts w:ascii="Times New Roman" w:hAnsi="Times New Roman" w:cs="Times New Roman"/>
          <w:b/>
          <w:bCs/>
          <w:sz w:val="24"/>
          <w:szCs w:val="24"/>
        </w:rPr>
        <w:t>Abrahão Alves de Oliveira Filho</w:t>
      </w:r>
      <w:r w:rsidRPr="00983F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72B5CFE1" w14:textId="553BA9F4" w:rsidR="00983FFF" w:rsidRPr="00983FFF" w:rsidRDefault="008D050B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50B">
        <w:rPr>
          <w:rFonts w:ascii="Times New Roman" w:hAnsi="Times New Roman" w:cs="Times New Roman"/>
          <w:sz w:val="24"/>
          <w:szCs w:val="24"/>
        </w:rPr>
        <w:t>ORCID:</w:t>
      </w:r>
      <w:r>
        <w:t xml:space="preserve"> </w:t>
      </w:r>
      <w:hyperlink r:id="rId26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https://orcid.org/0000-0002-7466-9933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4D97B" w14:textId="069E26A0" w:rsidR="00983FFF" w:rsidRPr="00983FFF" w:rsidRDefault="0071010E" w:rsidP="000F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7" w:history="1">
        <w:r w:rsidR="00983FFF" w:rsidRPr="008C7A8B">
          <w:rPr>
            <w:rStyle w:val="Hyperlink"/>
            <w:rFonts w:ascii="Times New Roman" w:hAnsi="Times New Roman" w:cs="Times New Roman"/>
            <w:sz w:val="24"/>
            <w:szCs w:val="24"/>
          </w:rPr>
          <w:t>abrahao.farm@gmail.com</w:t>
        </w:r>
      </w:hyperlink>
      <w:r w:rsid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 w:rsidRPr="00983FFF">
        <w:rPr>
          <w:rFonts w:ascii="Times New Roman" w:hAnsi="Times New Roman" w:cs="Times New Roman"/>
          <w:sz w:val="24"/>
          <w:szCs w:val="24"/>
        </w:rPr>
        <w:t xml:space="preserve"> </w:t>
      </w:r>
      <w:r w:rsidR="00983FF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5BDA3D" w14:textId="77777777" w:rsidR="00983FFF" w:rsidRDefault="00983FFF" w:rsidP="008D050B">
      <w:pPr>
        <w:rPr>
          <w:rFonts w:ascii="Times New Roman" w:hAnsi="Times New Roman" w:cs="Times New Roman"/>
          <w:b/>
          <w:bCs/>
          <w:sz w:val="24"/>
          <w:szCs w:val="24"/>
        </w:rPr>
        <w:sectPr w:rsidR="00983FFF" w:rsidSect="008D050B">
          <w:type w:val="continuous"/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14:paraId="00FCDCE2" w14:textId="77777777" w:rsidR="008D050B" w:rsidRDefault="008D050B" w:rsidP="008D05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E17DC" w14:textId="51283608" w:rsidR="008D050B" w:rsidRDefault="008D050B" w:rsidP="008D050B">
      <w:pPr>
        <w:rPr>
          <w:rFonts w:ascii="Times New Roman" w:hAnsi="Times New Roman" w:cs="Times New Roman"/>
          <w:b/>
          <w:bCs/>
          <w:sz w:val="24"/>
          <w:szCs w:val="24"/>
        </w:rPr>
        <w:sectPr w:rsidR="008D050B" w:rsidSect="008D050B">
          <w:type w:val="continuous"/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14:paraId="47B4E539" w14:textId="4C6973A9" w:rsidR="00977904" w:rsidRDefault="00983FFF" w:rsidP="008B18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3FFF">
        <w:rPr>
          <w:rFonts w:ascii="Times New Roman" w:hAnsi="Times New Roman" w:cs="Times New Roman"/>
          <w:b/>
          <w:bCs/>
          <w:sz w:val="24"/>
          <w:szCs w:val="24"/>
        </w:rPr>
        <w:t>Affiliations</w:t>
      </w:r>
      <w:proofErr w:type="spellEnd"/>
    </w:p>
    <w:p w14:paraId="4E3CEED8" w14:textId="01A8AC09" w:rsidR="00983FFF" w:rsidRPr="00977904" w:rsidRDefault="00977904" w:rsidP="008B18C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1</w:t>
      </w:r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 xml:space="preserve"> </w:t>
      </w:r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Federal </w:t>
      </w:r>
      <w:proofErr w:type="spellStart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University</w:t>
      </w:r>
      <w:proofErr w:type="spellEnd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of</w:t>
      </w:r>
      <w:proofErr w:type="spellEnd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Campina Grande (UFCG), </w:t>
      </w:r>
      <w:proofErr w:type="spellStart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Graduate</w:t>
      </w:r>
      <w:proofErr w:type="spellEnd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Program</w:t>
      </w:r>
      <w:proofErr w:type="spellEnd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in Animal Science </w:t>
      </w:r>
      <w:proofErr w:type="spellStart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</w:t>
      </w:r>
      <w:proofErr w:type="spellEnd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Health, Patos, PB, </w:t>
      </w:r>
      <w:proofErr w:type="spellStart"/>
      <w:r w:rsidR="00983FFF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Brazil</w:t>
      </w:r>
      <w:proofErr w:type="spellEnd"/>
      <w:r w:rsidR="000F1C6C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12A3AFE2" w14:textId="08DCA89F" w:rsidR="00983FFF" w:rsidRPr="00977904" w:rsidRDefault="00983FFF" w:rsidP="008B18C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2</w:t>
      </w:r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Federal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University</w:t>
      </w:r>
      <w:proofErr w:type="spellEnd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of</w:t>
      </w:r>
      <w:proofErr w:type="spellEnd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Campina Grande (UFCG),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Postgraduate</w:t>
      </w:r>
      <w:proofErr w:type="spellEnd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Program</w:t>
      </w:r>
      <w:proofErr w:type="spellEnd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in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Materials</w:t>
      </w:r>
      <w:proofErr w:type="spellEnd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Science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and</w:t>
      </w:r>
      <w:proofErr w:type="spellEnd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Engineering</w:t>
      </w:r>
      <w:proofErr w:type="spellEnd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Campina Grande, PB, </w:t>
      </w:r>
      <w:proofErr w:type="spellStart"/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Brazil</w:t>
      </w:r>
      <w:proofErr w:type="spellEnd"/>
      <w:r w:rsidR="000F1C6C"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04B31110" w14:textId="77777777" w:rsidR="008B18C3" w:rsidRPr="000F1C6C" w:rsidRDefault="00983FFF" w:rsidP="008B1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 xml:space="preserve">3 </w:t>
      </w:r>
      <w:r w:rsidRPr="009779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Federal </w:t>
      </w:r>
      <w:proofErr w:type="spellStart"/>
      <w:r w:rsidRPr="000F1C6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F1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1C6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F1C6C">
        <w:rPr>
          <w:rFonts w:ascii="Times New Roman" w:hAnsi="Times New Roman" w:cs="Times New Roman"/>
          <w:sz w:val="24"/>
          <w:szCs w:val="24"/>
        </w:rPr>
        <w:t xml:space="preserve"> Campina Grande (UFCG), Patos, PB, </w:t>
      </w:r>
      <w:proofErr w:type="spellStart"/>
      <w:r w:rsidRPr="000F1C6C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14:paraId="6B7613C6" w14:textId="64A24D08" w:rsidR="000F1C6C" w:rsidRPr="000F1C6C" w:rsidRDefault="000F1C6C" w:rsidP="008B1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01342EC9" w14:textId="77777777" w:rsidR="003056DB" w:rsidRDefault="00B23FD8" w:rsidP="00B23F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FD8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7339573A" w14:textId="2BBBD788" w:rsidR="00B23FD8" w:rsidRPr="00B23FD8" w:rsidRDefault="00B23FD8" w:rsidP="00B23FD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tract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are common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Escherichia coli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Klebsiella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causative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antimicrobials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for natural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volatility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instability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lastRenderedPageBreak/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characterize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physicochemically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morphologically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Origanum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Thymus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vulgaris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L.,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in a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dogs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The capsules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ionic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gelation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moisture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exhibited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flowability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0.7.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evidenced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zones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concluded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promising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use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pathogens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medicine.</w:t>
      </w:r>
    </w:p>
    <w:p w14:paraId="79D4308C" w14:textId="328438D5" w:rsidR="00B23FD8" w:rsidRPr="00B23FD8" w:rsidRDefault="00B23FD8" w:rsidP="00B23FD8">
      <w:pPr>
        <w:rPr>
          <w:rFonts w:ascii="Times New Roman" w:hAnsi="Times New Roman" w:cs="Times New Roman"/>
          <w:sz w:val="24"/>
          <w:szCs w:val="24"/>
        </w:rPr>
      </w:pPr>
      <w:r w:rsidRPr="00B23FD8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E02" w:rsidRPr="00791E02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="00791E02" w:rsidRPr="00791E02">
        <w:rPr>
          <w:rFonts w:ascii="Times New Roman" w:hAnsi="Times New Roman" w:cs="Times New Roman"/>
          <w:sz w:val="24"/>
          <w:szCs w:val="24"/>
        </w:rPr>
        <w:t xml:space="preserve"> capsules; </w:t>
      </w:r>
      <w:proofErr w:type="spellStart"/>
      <w:r w:rsidR="00791E02" w:rsidRPr="00791E02">
        <w:rPr>
          <w:rFonts w:ascii="Times New Roman" w:hAnsi="Times New Roman" w:cs="Times New Roman"/>
          <w:sz w:val="24"/>
          <w:szCs w:val="24"/>
        </w:rPr>
        <w:t>Carvacrol</w:t>
      </w:r>
      <w:proofErr w:type="spellEnd"/>
      <w:r w:rsidR="00791E02" w:rsidRPr="00791E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91E02" w:rsidRPr="00791E02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="00791E02" w:rsidRPr="00791E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91E02" w:rsidRPr="00791E02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="00791E02" w:rsidRPr="00791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E02" w:rsidRPr="00791E02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="00791E02" w:rsidRPr="00791E02">
        <w:rPr>
          <w:rFonts w:ascii="Times New Roman" w:hAnsi="Times New Roman" w:cs="Times New Roman"/>
          <w:sz w:val="24"/>
          <w:szCs w:val="24"/>
        </w:rPr>
        <w:t xml:space="preserve">; Companion </w:t>
      </w:r>
      <w:proofErr w:type="spellStart"/>
      <w:r w:rsidR="00791E02" w:rsidRPr="00791E02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="00791E02">
        <w:rPr>
          <w:rFonts w:ascii="Times New Roman" w:hAnsi="Times New Roman" w:cs="Times New Roman"/>
          <w:sz w:val="24"/>
          <w:szCs w:val="24"/>
        </w:rPr>
        <w:t>.</w:t>
      </w:r>
    </w:p>
    <w:p w14:paraId="5C575B07" w14:textId="77777777" w:rsidR="00B23FD8" w:rsidRPr="00B23FD8" w:rsidRDefault="00B23FD8" w:rsidP="00C4648A">
      <w:pPr>
        <w:spacing w:after="0" w:line="360" w:lineRule="auto"/>
      </w:pPr>
    </w:p>
    <w:p w14:paraId="7B40351D" w14:textId="017EFB8E" w:rsidR="00C4648A" w:rsidRPr="00B23FD8" w:rsidRDefault="00B23FD8" w:rsidP="00C464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23FD8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</w:p>
    <w:p w14:paraId="03C88887" w14:textId="3048EAF1" w:rsidR="00B23FD8" w:rsidRPr="00B23FD8" w:rsidRDefault="00B23FD8" w:rsidP="00C464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tract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(UTIs) are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common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diagnosed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dogs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r w:rsidRPr="00B23FD8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B23F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pneumoniae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causative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(Sousa et al.</w:t>
      </w:r>
      <w:r w:rsidR="00934973">
        <w:rPr>
          <w:rFonts w:ascii="Times New Roman" w:hAnsi="Times New Roman" w:cs="Times New Roman"/>
          <w:sz w:val="24"/>
          <w:szCs w:val="24"/>
        </w:rPr>
        <w:t>,</w:t>
      </w:r>
      <w:r w:rsidRPr="00B23FD8">
        <w:rPr>
          <w:rFonts w:ascii="Times New Roman" w:hAnsi="Times New Roman" w:cs="Times New Roman"/>
          <w:sz w:val="24"/>
          <w:szCs w:val="24"/>
        </w:rPr>
        <w:t xml:space="preserve"> 2019; Silva et al., 2025).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synthetic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antibiotics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administered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empirically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repeatedly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favors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multidrug-resistant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setting (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Sellera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et al., 2025).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scenario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isolates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failures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recurrence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management (Scarpellini et al., 2025).</w:t>
      </w:r>
    </w:p>
    <w:p w14:paraId="3F2A5BEA" w14:textId="77777777" w:rsidR="00B23FD8" w:rsidRPr="00B23FD8" w:rsidRDefault="00B23FD8" w:rsidP="00B23F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FD8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attracted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3FD8">
        <w:rPr>
          <w:rFonts w:ascii="Times New Roman" w:hAnsi="Times New Roman" w:cs="Times New Roman"/>
          <w:sz w:val="24"/>
          <w:szCs w:val="24"/>
        </w:rPr>
        <w:t>as natural</w:t>
      </w:r>
      <w:proofErr w:type="gram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(Matte et al., 2023).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plant-derived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inhibit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reproduction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pathogenic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microorganisms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use does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microbial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possess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attack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targets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microorganisms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making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clinically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pathogens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Nuță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et al., 2021;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et al., 2024).</w:t>
      </w:r>
    </w:p>
    <w:p w14:paraId="625B6D92" w14:textId="77777777" w:rsidR="00B23FD8" w:rsidRPr="00B23FD8" w:rsidRDefault="00B23FD8" w:rsidP="00B23F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FD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Origanum</w:t>
      </w:r>
      <w:proofErr w:type="spellEnd"/>
      <w:r w:rsidRPr="00B23F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vulgare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Thymus</w:t>
      </w:r>
      <w:proofErr w:type="spellEnd"/>
      <w:r w:rsidRPr="00B23F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vulgaris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pathogens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Gram-negative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carvacrol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r w:rsidRPr="00B23FD8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et al., 2024).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disrupting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membrane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death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microorganisms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7591F" w14:textId="77777777" w:rsidR="00B23FD8" w:rsidRPr="00B23FD8" w:rsidRDefault="00B23FD8" w:rsidP="00B23F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FD8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as high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volatility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instability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compromise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efficacy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Nuță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et al., 2021),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tract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release,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expanding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systems (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Nuță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et al., 2021;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Štrbac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et al., 2021).</w:t>
      </w:r>
    </w:p>
    <w:p w14:paraId="2B72E75C" w14:textId="77777777" w:rsidR="00B23FD8" w:rsidRPr="00B23FD8" w:rsidRDefault="00B23FD8" w:rsidP="00B23F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FD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characterize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Origanum</w:t>
      </w:r>
      <w:proofErr w:type="spellEnd"/>
      <w:r w:rsidRPr="00B23F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vulgare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Thymus</w:t>
      </w:r>
      <w:proofErr w:type="spellEnd"/>
      <w:r w:rsidRPr="00B23F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i/>
          <w:iCs/>
          <w:sz w:val="24"/>
          <w:szCs w:val="24"/>
        </w:rPr>
        <w:t>vulgaris</w:t>
      </w:r>
      <w:proofErr w:type="spellEnd"/>
      <w:r w:rsidRPr="00B23F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23FD8">
        <w:rPr>
          <w:rFonts w:ascii="Times New Roman" w:hAnsi="Times New Roman" w:cs="Times New Roman"/>
          <w:sz w:val="24"/>
          <w:szCs w:val="24"/>
        </w:rPr>
        <w:t xml:space="preserve">L. for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tract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in dogs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FD8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B23FD8">
        <w:rPr>
          <w:rFonts w:ascii="Times New Roman" w:hAnsi="Times New Roman" w:cs="Times New Roman"/>
          <w:sz w:val="24"/>
          <w:szCs w:val="24"/>
        </w:rPr>
        <w:t>.</w:t>
      </w:r>
    </w:p>
    <w:p w14:paraId="5714F4AD" w14:textId="77777777" w:rsidR="00B23FD8" w:rsidRDefault="00B23FD8" w:rsidP="00B23FD8"/>
    <w:p w14:paraId="4D6E015A" w14:textId="69AA0E3C" w:rsidR="00D16021" w:rsidRDefault="00C4648A" w:rsidP="00C464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48A">
        <w:rPr>
          <w:rFonts w:ascii="Times New Roman" w:hAnsi="Times New Roman" w:cs="Times New Roman"/>
          <w:b/>
          <w:bCs/>
          <w:sz w:val="24"/>
          <w:szCs w:val="24"/>
        </w:rPr>
        <w:t>2. MATERIALS AND METHODS</w:t>
      </w:r>
    </w:p>
    <w:p w14:paraId="664636A8" w14:textId="32D556DE" w:rsidR="00D16021" w:rsidRPr="00D16021" w:rsidRDefault="00D16021" w:rsidP="00C464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602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Federal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Campina Grande (CEUA/CSTR/UFCG),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2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D16021">
        <w:rPr>
          <w:rFonts w:ascii="Times New Roman" w:hAnsi="Times New Roman" w:cs="Times New Roman"/>
          <w:sz w:val="24"/>
          <w:szCs w:val="24"/>
        </w:rPr>
        <w:t xml:space="preserve"> 022026.</w:t>
      </w:r>
    </w:p>
    <w:p w14:paraId="58B76C70" w14:textId="746FFE52" w:rsidR="00C4648A" w:rsidRPr="00C4648A" w:rsidRDefault="00C4648A" w:rsidP="00C464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Location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Experimental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Tests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Test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Substances</w:t>
      </w:r>
      <w:proofErr w:type="spellEnd"/>
    </w:p>
    <w:p w14:paraId="0FC7E9C5" w14:textId="77777777" w:rsidR="00C4648A" w:rsidRPr="00C4648A" w:rsidRDefault="00C4648A" w:rsidP="00C464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48A">
        <w:rPr>
          <w:rFonts w:ascii="Times New Roman" w:hAnsi="Times New Roman" w:cs="Times New Roman"/>
          <w:sz w:val="24"/>
          <w:szCs w:val="24"/>
        </w:rPr>
        <w:t xml:space="preserve">The experimental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Central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Laboratories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(UACB)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Federal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Campina Grande (UFCG), Patos Campus, Paraíba,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i/>
          <w:iCs/>
          <w:sz w:val="24"/>
          <w:szCs w:val="24"/>
        </w:rPr>
        <w:t>Origanum</w:t>
      </w:r>
      <w:proofErr w:type="spellEnd"/>
      <w:r w:rsidRPr="00C4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i/>
          <w:iCs/>
          <w:sz w:val="24"/>
          <w:szCs w:val="24"/>
        </w:rPr>
        <w:t>vulgare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L. (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oregano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i/>
          <w:iCs/>
          <w:sz w:val="24"/>
          <w:szCs w:val="24"/>
        </w:rPr>
        <w:t>Thymus</w:t>
      </w:r>
      <w:proofErr w:type="spellEnd"/>
      <w:r w:rsidRPr="00C4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i/>
          <w:iCs/>
          <w:sz w:val="24"/>
          <w:szCs w:val="24"/>
        </w:rPr>
        <w:t>vulgaris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L. (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thyme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purchased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certified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supplier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Quinarí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®, Ponta Grossa, Paraná,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). The samples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amber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vials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refrigerated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(4 °C),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protected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light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use.</w:t>
      </w:r>
    </w:p>
    <w:p w14:paraId="035FDF52" w14:textId="77777777" w:rsidR="00C4648A" w:rsidRPr="00C4648A" w:rsidRDefault="00C4648A" w:rsidP="00C464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A0AA6" w14:textId="16FFF53E" w:rsidR="00C4648A" w:rsidRPr="00C4648A" w:rsidRDefault="00C4648A" w:rsidP="00C464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Bacterial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Strains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4648A">
        <w:rPr>
          <w:rFonts w:ascii="Times New Roman" w:hAnsi="Times New Roman" w:cs="Times New Roman"/>
          <w:b/>
          <w:bCs/>
          <w:sz w:val="24"/>
          <w:szCs w:val="24"/>
        </w:rPr>
        <w:t xml:space="preserve"> Culture Media</w:t>
      </w:r>
    </w:p>
    <w:p w14:paraId="0BA77D44" w14:textId="77777777" w:rsidR="00C4648A" w:rsidRPr="00C4648A" w:rsidRDefault="00C4648A" w:rsidP="00C464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648A">
        <w:rPr>
          <w:rFonts w:ascii="Times New Roman" w:hAnsi="Times New Roman" w:cs="Times New Roman"/>
          <w:sz w:val="24"/>
          <w:szCs w:val="24"/>
        </w:rPr>
        <w:t xml:space="preserve">Clinical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r w:rsidRPr="00C4648A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dogs (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Ecc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49)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Ecg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13)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C464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i/>
          <w:iCs/>
          <w:sz w:val="24"/>
          <w:szCs w:val="24"/>
        </w:rPr>
        <w:t>pneumoniae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Kp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04)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dogs,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urine samples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tract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Mueller-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Hinton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(MHA)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4 °C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. Inocula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MHA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incubated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35 ± 2 °C for 18–24 h,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diluted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in 0.9%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sterile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saline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turbidity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lastRenderedPageBreak/>
        <w:t>equivalent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0.5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McFarland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1.5 × 10⁸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colony-forming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milliliter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 xml:space="preserve"> (CFU/</w:t>
      </w:r>
      <w:proofErr w:type="spellStart"/>
      <w:r w:rsidRPr="00C4648A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C4648A">
        <w:rPr>
          <w:rFonts w:ascii="Times New Roman" w:hAnsi="Times New Roman" w:cs="Times New Roman"/>
          <w:sz w:val="24"/>
          <w:szCs w:val="24"/>
        </w:rPr>
        <w:t>) (Bona et al., 2014).</w:t>
      </w:r>
    </w:p>
    <w:p w14:paraId="337D5007" w14:textId="77777777" w:rsidR="00C4648A" w:rsidRPr="00C4648A" w:rsidRDefault="00C4648A" w:rsidP="00C464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2AFA8" w14:textId="77777777" w:rsidR="00C22E12" w:rsidRPr="00C22E12" w:rsidRDefault="00C22E12" w:rsidP="00C22E1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C22E12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b/>
          <w:bCs/>
          <w:sz w:val="24"/>
          <w:szCs w:val="24"/>
        </w:rPr>
        <w:t>Gas</w:t>
      </w:r>
      <w:proofErr w:type="spellEnd"/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b/>
          <w:bCs/>
          <w:sz w:val="24"/>
          <w:szCs w:val="24"/>
        </w:rPr>
        <w:t>Chromatography</w:t>
      </w:r>
      <w:proofErr w:type="spellEnd"/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b/>
          <w:bCs/>
          <w:sz w:val="24"/>
          <w:szCs w:val="24"/>
        </w:rPr>
        <w:t>Coupled</w:t>
      </w:r>
      <w:proofErr w:type="spellEnd"/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spellEnd"/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 Mass </w:t>
      </w:r>
      <w:proofErr w:type="spellStart"/>
      <w:r w:rsidRPr="00C22E12">
        <w:rPr>
          <w:rFonts w:ascii="Times New Roman" w:hAnsi="Times New Roman" w:cs="Times New Roman"/>
          <w:b/>
          <w:bCs/>
          <w:sz w:val="24"/>
          <w:szCs w:val="24"/>
        </w:rPr>
        <w:t>Spectrometry</w:t>
      </w:r>
      <w:proofErr w:type="spellEnd"/>
      <w:r w:rsidRPr="00C22E12">
        <w:rPr>
          <w:rFonts w:ascii="Times New Roman" w:hAnsi="Times New Roman" w:cs="Times New Roman"/>
          <w:b/>
          <w:bCs/>
          <w:sz w:val="24"/>
          <w:szCs w:val="24"/>
        </w:rPr>
        <w:t xml:space="preserve"> (GC-MS)</w:t>
      </w:r>
    </w:p>
    <w:p w14:paraId="3979BB24" w14:textId="77777777" w:rsidR="00C22E12" w:rsidRPr="00C22E12" w:rsidRDefault="00C22E12" w:rsidP="00C22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E1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chromatograph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coupled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quadrupole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spectrometer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(GC-MS),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Shimadzu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>, model GC-QP2010 (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Shimadzu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, Kyoto,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). A DB-5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fused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silica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capillary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(30 m × 0.25 mm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i.d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. × 0.25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>.</w:t>
      </w:r>
    </w:p>
    <w:p w14:paraId="0E0D1844" w14:textId="77777777" w:rsidR="00C22E12" w:rsidRPr="00C22E12" w:rsidRDefault="00C22E12" w:rsidP="00C22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E1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chromatographic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employed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injector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220 °C, split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of 1:10 (3.0 min),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helium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(He)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carrier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0.6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/min, interface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250 °C,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ionization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35–350 m/z range. The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oven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ramp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programmed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40 °C (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for 2 min),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3 °C/min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240 °C,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remaining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for 5 min. The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injection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a 1%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dichloromethane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>.</w:t>
      </w:r>
    </w:p>
    <w:p w14:paraId="0D6EB66E" w14:textId="77777777" w:rsidR="00C22E12" w:rsidRPr="00C22E12" w:rsidRDefault="00C22E12" w:rsidP="00C22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Compound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fragmentation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NIST 14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(Mass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Spectral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Library, 2014),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CG-EM system.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Additionally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(Adams, 2007)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(LRI),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times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homologous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series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hydrocarbons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(C8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C26),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injected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chromatographic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sample. The linear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index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Dool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Kratz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(1963)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Adams (2007). For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matches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exceeding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90%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E12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C22E12">
        <w:rPr>
          <w:rFonts w:ascii="Times New Roman" w:hAnsi="Times New Roman" w:cs="Times New Roman"/>
          <w:sz w:val="24"/>
          <w:szCs w:val="24"/>
        </w:rPr>
        <w:t>.</w:t>
      </w:r>
    </w:p>
    <w:p w14:paraId="2768A76C" w14:textId="6B59523B" w:rsidR="00C22E12" w:rsidRPr="00C22E12" w:rsidRDefault="00C22E12" w:rsidP="00A9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A5FE3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Encapsulation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oregano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thyme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oils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alginate</w:t>
      </w:r>
      <w:proofErr w:type="spellEnd"/>
    </w:p>
    <w:p w14:paraId="1EFB6875" w14:textId="77777777" w:rsid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7180A" w14:textId="516B5DD4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2.4.1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Formulations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concentrations</w:t>
      </w:r>
      <w:proofErr w:type="spellEnd"/>
    </w:p>
    <w:p w14:paraId="5B821F55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i/>
          <w:iCs/>
          <w:sz w:val="24"/>
          <w:szCs w:val="24"/>
        </w:rPr>
        <w:t>Origanum</w:t>
      </w:r>
      <w:proofErr w:type="spellEnd"/>
      <w:r w:rsidRPr="00A92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i/>
          <w:iCs/>
          <w:sz w:val="24"/>
          <w:szCs w:val="24"/>
        </w:rPr>
        <w:t>vulgare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L.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oregano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i/>
          <w:iCs/>
          <w:sz w:val="24"/>
          <w:szCs w:val="24"/>
        </w:rPr>
        <w:t>Thymus</w:t>
      </w:r>
      <w:proofErr w:type="spellEnd"/>
      <w:r w:rsidRPr="00A929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i/>
          <w:iCs/>
          <w:sz w:val="24"/>
          <w:szCs w:val="24"/>
        </w:rPr>
        <w:t>vulgaris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L.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thyme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Pagani et al. (2014),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modifications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a 2% (w/v)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2% (w/v)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heat-treated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remove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contaminants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.</w:t>
      </w:r>
    </w:p>
    <w:p w14:paraId="29F8E8B5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alginate-based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individually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incorporating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20% (v/v).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lastRenderedPageBreak/>
        <w:t>homogenization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dispensed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automatic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pipette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ionic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gelation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.</w:t>
      </w:r>
    </w:p>
    <w:p w14:paraId="4D041FA6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7E4BF" w14:textId="2DE30D32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2.4.2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Gelation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Drying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</w:p>
    <w:p w14:paraId="04BF57B8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t xml:space="preserve">The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remained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chloride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for 60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seconds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washed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distilled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remove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excess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ions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. The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forced-air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oven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50 ± 2 °C for 32 hours.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drying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packaged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sterile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containers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use (Ferreira et al., 2021).</w:t>
      </w:r>
    </w:p>
    <w:p w14:paraId="0DA50876" w14:textId="77777777" w:rsid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7AC77" w14:textId="689A9723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2.5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Physicochemical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morphological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characterization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capsules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containing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oregano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thyme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oils</w:t>
      </w:r>
      <w:proofErr w:type="spellEnd"/>
    </w:p>
    <w:p w14:paraId="095FFC18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6D44C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2.5.1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Measurement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capsule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diameter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sphericity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factor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(SF)</w:t>
      </w:r>
    </w:p>
    <w:p w14:paraId="6AA1B3D1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sample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30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digital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caliper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0.01 mm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Mitutoyo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®). For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capsule,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minor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(dm)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Asha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et al. (2011).</w:t>
      </w:r>
    </w:p>
    <w:p w14:paraId="587C3A08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sphericity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minor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diameters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: SF =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– dm) /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+ dm)</w:t>
      </w:r>
    </w:p>
    <w:p w14:paraId="30CB2E55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9BD18" w14:textId="0F425C2E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2.5.2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Density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Compressibility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Index,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Hausner Factor</w:t>
      </w:r>
    </w:p>
    <w:p w14:paraId="73983794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compressibility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index (CI)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bulk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(BD)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compacted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(CD),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Carr (1965)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compendia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United States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Pharmacopeia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(USP): CI = (CD – BD) / CD × 100.</w:t>
      </w:r>
    </w:p>
    <w:p w14:paraId="31991E41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t xml:space="preserve">The Hausner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(HF)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compacted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(CD)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bulk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(BD), as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Hausner (1967)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recommendations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United States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Pharmacopeia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(USP, 2022),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indicator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material’s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compressibility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.</w:t>
      </w:r>
    </w:p>
    <w:p w14:paraId="5A2A7642" w14:textId="77777777" w:rsidR="00A92990" w:rsidRDefault="00A92990" w:rsidP="00A92990"/>
    <w:p w14:paraId="1020D75C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2.5.3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Water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activity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Aw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moisture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content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capsules</w:t>
      </w:r>
    </w:p>
    <w:p w14:paraId="347ABB90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2990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Aw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AquaLab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®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Dew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Point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Meter 4TEV)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(NOM, 2008).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Aw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ratio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vapor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vapor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Badui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, 2006).</w:t>
      </w:r>
    </w:p>
    <w:p w14:paraId="637A5522" w14:textId="77777777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Moisture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AOAC (1997),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925.01,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samples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oven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105 °C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moisture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: %U = (m_(</w:t>
      </w:r>
      <w:proofErr w:type="spellStart"/>
      <w:proofErr w:type="gramStart"/>
      <w:r w:rsidRPr="00A92990">
        <w:rPr>
          <w:rFonts w:ascii="Times New Roman" w:hAnsi="Times New Roman" w:cs="Times New Roman"/>
          <w:sz w:val="24"/>
          <w:szCs w:val="24"/>
        </w:rPr>
        <w:t>a,i</w:t>
      </w:r>
      <w:proofErr w:type="spellEnd"/>
      <w:proofErr w:type="gramEnd"/>
      <w:r w:rsidRPr="00A92990">
        <w:rPr>
          <w:rFonts w:ascii="Times New Roman" w:hAnsi="Times New Roman" w:cs="Times New Roman"/>
          <w:sz w:val="24"/>
          <w:szCs w:val="24"/>
        </w:rPr>
        <w:t>) – m_(</w:t>
      </w:r>
      <w:proofErr w:type="spellStart"/>
      <w:proofErr w:type="gramStart"/>
      <w:r w:rsidRPr="00A92990">
        <w:rPr>
          <w:rFonts w:ascii="Times New Roman" w:hAnsi="Times New Roman" w:cs="Times New Roman"/>
          <w:sz w:val="24"/>
          <w:szCs w:val="24"/>
        </w:rPr>
        <w:t>a,f</w:t>
      </w:r>
      <w:proofErr w:type="spellEnd"/>
      <w:proofErr w:type="gramEnd"/>
      <w:r w:rsidRPr="00A92990">
        <w:rPr>
          <w:rFonts w:ascii="Times New Roman" w:hAnsi="Times New Roman" w:cs="Times New Roman"/>
          <w:sz w:val="24"/>
          <w:szCs w:val="24"/>
        </w:rPr>
        <w:t>)) / m_(</w:t>
      </w:r>
      <w:proofErr w:type="spellStart"/>
      <w:proofErr w:type="gramStart"/>
      <w:r w:rsidRPr="00A92990">
        <w:rPr>
          <w:rFonts w:ascii="Times New Roman" w:hAnsi="Times New Roman" w:cs="Times New Roman"/>
          <w:sz w:val="24"/>
          <w:szCs w:val="24"/>
        </w:rPr>
        <w:t>a,i</w:t>
      </w:r>
      <w:proofErr w:type="spellEnd"/>
      <w:proofErr w:type="gramEnd"/>
      <w:r w:rsidRPr="00A92990">
        <w:rPr>
          <w:rFonts w:ascii="Times New Roman" w:hAnsi="Times New Roman" w:cs="Times New Roman"/>
          <w:sz w:val="24"/>
          <w:szCs w:val="24"/>
        </w:rPr>
        <w:t>) × 100</w:t>
      </w:r>
    </w:p>
    <w:p w14:paraId="73583931" w14:textId="7CF3867B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990">
        <w:rPr>
          <w:rFonts w:ascii="Times New Roman" w:hAnsi="Times New Roman" w:cs="Times New Roman"/>
          <w:sz w:val="24"/>
          <w:szCs w:val="24"/>
        </w:rPr>
        <w:t xml:space="preserve">%U =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moisture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percentage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>; m_(</w:t>
      </w:r>
      <w:proofErr w:type="spellStart"/>
      <w:proofErr w:type="gramStart"/>
      <w:r w:rsidRPr="00A92990">
        <w:rPr>
          <w:rFonts w:ascii="Times New Roman" w:hAnsi="Times New Roman" w:cs="Times New Roman"/>
          <w:sz w:val="24"/>
          <w:szCs w:val="24"/>
        </w:rPr>
        <w:t>a,i</w:t>
      </w:r>
      <w:proofErr w:type="spellEnd"/>
      <w:proofErr w:type="gramEnd"/>
      <w:r w:rsidRPr="00A92990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sample; m_(</w:t>
      </w:r>
      <w:proofErr w:type="spellStart"/>
      <w:proofErr w:type="gramStart"/>
      <w:r w:rsidRPr="00A92990">
        <w:rPr>
          <w:rFonts w:ascii="Times New Roman" w:hAnsi="Times New Roman" w:cs="Times New Roman"/>
          <w:sz w:val="24"/>
          <w:szCs w:val="24"/>
        </w:rPr>
        <w:t>a,f</w:t>
      </w:r>
      <w:proofErr w:type="spellEnd"/>
      <w:proofErr w:type="gramEnd"/>
      <w:r w:rsidRPr="00A92990">
        <w:rPr>
          <w:rFonts w:ascii="Times New Roman" w:hAnsi="Times New Roman" w:cs="Times New Roman"/>
          <w:sz w:val="24"/>
          <w:szCs w:val="24"/>
        </w:rPr>
        <w:t xml:space="preserve">) = final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sample.</w:t>
      </w:r>
    </w:p>
    <w:p w14:paraId="1A96FFAB" w14:textId="77777777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3BEFE" w14:textId="257B2A13" w:rsidR="00A92990" w:rsidRPr="00A92990" w:rsidRDefault="00A92990" w:rsidP="00A9299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2.5.4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Scanning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electron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b/>
          <w:bCs/>
          <w:sz w:val="24"/>
          <w:szCs w:val="24"/>
        </w:rPr>
        <w:t>microscopy</w:t>
      </w:r>
      <w:proofErr w:type="spellEnd"/>
      <w:r w:rsidRPr="00A92990">
        <w:rPr>
          <w:rFonts w:ascii="Times New Roman" w:hAnsi="Times New Roman" w:cs="Times New Roman"/>
          <w:b/>
          <w:bCs/>
          <w:sz w:val="24"/>
          <w:szCs w:val="24"/>
        </w:rPr>
        <w:t xml:space="preserve"> (SEM)</w:t>
      </w:r>
    </w:p>
    <w:p w14:paraId="6CC3759D" w14:textId="50E820CA" w:rsidR="00A92990" w:rsidRPr="00A92990" w:rsidRDefault="00A92990" w:rsidP="00A929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(SEM),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Rosenberg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Young (1993). In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dehydrated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70%, 90%,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alcohol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per sample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10 minutes for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alcohols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then</w:t>
      </w:r>
      <w:proofErr w:type="spellEnd"/>
      <w:proofErr w:type="gram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dryer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/K 850)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point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anhydrous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CO₂ (1100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psi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/31°C). The samples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mounted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colloidal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silver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metallizer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/Q 150R ES)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thin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metal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alloy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composed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palladium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metallization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samples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microscope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(Philips – XL30 ESEM)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990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92990">
        <w:rPr>
          <w:rFonts w:ascii="Times New Roman" w:hAnsi="Times New Roman" w:cs="Times New Roman"/>
          <w:sz w:val="24"/>
          <w:szCs w:val="24"/>
        </w:rPr>
        <w:t xml:space="preserve"> 10 kV.</w:t>
      </w:r>
    </w:p>
    <w:p w14:paraId="4452EA6B" w14:textId="218400BF" w:rsidR="00A92990" w:rsidRDefault="00A92990" w:rsidP="00A92990"/>
    <w:p w14:paraId="24C43223" w14:textId="77777777" w:rsidR="00235D0A" w:rsidRPr="00235D0A" w:rsidRDefault="00235D0A" w:rsidP="00235D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2.5.5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Infrared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Spectroscopy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(FTIR/IR)</w:t>
      </w:r>
    </w:p>
    <w:p w14:paraId="444D2CB8" w14:textId="3D55EF25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samples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mid-infrared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FTIR-ATR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instrument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(Cary 630 FTIR,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Technologies Inc., Santa Clara, CA, USA),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attenuated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reflectance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(ATR)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manufacturer’s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specifications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Technologies Inc., 2015). The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4000 cm⁻¹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600 cm⁻¹,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absorption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(Smith, 2018).</w:t>
      </w:r>
    </w:p>
    <w:p w14:paraId="5FB976C5" w14:textId="77777777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D0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ambient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25 °C,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prior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background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a procedure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correcting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instrumental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interferences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. Next, 0.5 g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sample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surface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lastRenderedPageBreak/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diamond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crystal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rays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strike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attenuated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reflectance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(Smith, 2018).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Microlab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PC software,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Technologies Inc., 2015).</w:t>
      </w:r>
    </w:p>
    <w:p w14:paraId="690E3AEE" w14:textId="77777777" w:rsidR="00235D0A" w:rsidRDefault="00235D0A" w:rsidP="00235D0A"/>
    <w:p w14:paraId="5E697845" w14:textId="7E1760DE" w:rsidR="00235D0A" w:rsidRPr="00235D0A" w:rsidRDefault="00235D0A" w:rsidP="00235D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2.6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Antibacterial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activity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oregano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thyme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b/>
          <w:bCs/>
          <w:sz w:val="24"/>
          <w:szCs w:val="24"/>
        </w:rPr>
        <w:t>oil</w:t>
      </w:r>
      <w:proofErr w:type="spellEnd"/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 capsules</w:t>
      </w:r>
    </w:p>
    <w:p w14:paraId="0F37DDAA" w14:textId="77777777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testing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Bona et al. (2014),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modifications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. For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inoculated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onto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Petri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dishes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Mueller-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Hinton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agar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6-mm-diameter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holes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center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wells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. The capsules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Origanum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Thymus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vulgaris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aseptically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deposited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wells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incubated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incubator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35 ± 2 °C for 24 hours.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incubation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cases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measured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millimeter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ruler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duplicate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3F7A21" w14:textId="77777777" w:rsidR="00235D0A" w:rsidRPr="00235D0A" w:rsidRDefault="00235D0A" w:rsidP="00235D0A"/>
    <w:p w14:paraId="29B0339D" w14:textId="37322F80" w:rsidR="00235D0A" w:rsidRPr="00235D0A" w:rsidRDefault="00235D0A" w:rsidP="00235D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D0A">
        <w:rPr>
          <w:rFonts w:ascii="Times New Roman" w:hAnsi="Times New Roman" w:cs="Times New Roman"/>
          <w:b/>
          <w:bCs/>
          <w:sz w:val="24"/>
          <w:szCs w:val="24"/>
        </w:rPr>
        <w:t xml:space="preserve">3. RESULTS </w:t>
      </w:r>
    </w:p>
    <w:p w14:paraId="67B8DEE1" w14:textId="77777777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chromatograms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GC-MS,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monoterpenes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notably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thyme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(67.5%)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carvacrol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oregano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(83.8%).</w:t>
      </w:r>
    </w:p>
    <w:p w14:paraId="3A4B5D91" w14:textId="77777777" w:rsidR="00235D0A" w:rsidRPr="00235D0A" w:rsidRDefault="00235D0A" w:rsidP="00235D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1]</w:t>
      </w:r>
    </w:p>
    <w:p w14:paraId="785158DE" w14:textId="77777777" w:rsidR="00235D0A" w:rsidRPr="00235D0A" w:rsidRDefault="00235D0A" w:rsidP="00235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B2AA4" w14:textId="77777777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Origanum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Thymus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vulgaris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FC84C" w14:textId="77777777" w:rsidR="00235D0A" w:rsidRPr="00235D0A" w:rsidRDefault="00235D0A" w:rsidP="00235D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2]</w:t>
      </w:r>
    </w:p>
    <w:p w14:paraId="3823C29C" w14:textId="77777777" w:rsidR="00235D0A" w:rsidRPr="00235D0A" w:rsidRDefault="00235D0A" w:rsidP="00235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D9A96" w14:textId="77777777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D0A">
        <w:rPr>
          <w:rFonts w:ascii="Times New Roman" w:hAnsi="Times New Roman" w:cs="Times New Roman"/>
          <w:sz w:val="24"/>
          <w:szCs w:val="24"/>
        </w:rPr>
        <w:t>in Figure</w:t>
      </w:r>
      <w:proofErr w:type="gramEnd"/>
      <w:r w:rsidRPr="00235D0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spheres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oregano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thyme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rough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irregular,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heterogeneous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surface.</w:t>
      </w:r>
    </w:p>
    <w:p w14:paraId="45864941" w14:textId="2C683A5F" w:rsidR="00235D0A" w:rsidRPr="00235D0A" w:rsidRDefault="00235D0A" w:rsidP="00235D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t xml:space="preserve">[Figure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5D0A">
        <w:rPr>
          <w:rFonts w:ascii="Times New Roman" w:hAnsi="Times New Roman" w:cs="Times New Roman"/>
          <w:sz w:val="24"/>
          <w:szCs w:val="24"/>
        </w:rPr>
        <w:t>]</w:t>
      </w:r>
    </w:p>
    <w:p w14:paraId="0C504403" w14:textId="77777777" w:rsidR="00235D0A" w:rsidRPr="00235D0A" w:rsidRDefault="00235D0A" w:rsidP="00235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DE08E" w14:textId="77777777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lastRenderedPageBreak/>
        <w:t xml:space="preserve">The FTIR-ATR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pure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oregano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thyme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stock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similar profiles,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bands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polymeric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–COO⁻, –C–O–C,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–OH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>.</w:t>
      </w:r>
    </w:p>
    <w:p w14:paraId="0CACB401" w14:textId="77777777" w:rsidR="00235D0A" w:rsidRPr="00235D0A" w:rsidRDefault="00235D0A" w:rsidP="00235D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Origanum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Thymus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vulgaris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a 20%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inhibit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evidenced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zones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ranging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16 mm, as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32B7CF2B" w14:textId="426AA8F1" w:rsidR="00235D0A" w:rsidRPr="00235D0A" w:rsidRDefault="00235D0A" w:rsidP="00235D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0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235D0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235D0A">
        <w:rPr>
          <w:rFonts w:ascii="Times New Roman" w:hAnsi="Times New Roman" w:cs="Times New Roman"/>
          <w:sz w:val="24"/>
          <w:szCs w:val="24"/>
        </w:rPr>
        <w:t xml:space="preserve"> 3]</w:t>
      </w:r>
    </w:p>
    <w:p w14:paraId="58824D20" w14:textId="77777777" w:rsidR="00235D0A" w:rsidRPr="00235D0A" w:rsidRDefault="00235D0A" w:rsidP="00235D0A"/>
    <w:p w14:paraId="35A65933" w14:textId="7AE91D81" w:rsidR="00D23D0C" w:rsidRPr="00D23D0C" w:rsidRDefault="00D23D0C" w:rsidP="00D23D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D0C">
        <w:rPr>
          <w:rFonts w:ascii="Times New Roman" w:hAnsi="Times New Roman" w:cs="Times New Roman"/>
          <w:b/>
          <w:bCs/>
          <w:sz w:val="24"/>
          <w:szCs w:val="24"/>
        </w:rPr>
        <w:t>4. DISCUSSION</w:t>
      </w:r>
    </w:p>
    <w:p w14:paraId="49B8D70A" w14:textId="77777777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carvacrol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antimicrobial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reinforces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2024).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process’s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efficiency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subsequent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>.</w:t>
      </w:r>
    </w:p>
    <w:p w14:paraId="531E687C" w14:textId="77777777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capsules,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for bulk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tapped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variation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reflecting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compressibility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index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 Hausner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close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flowability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cohesiveness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material,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are fundamental for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standardization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systems (Carr, 1965; Hausner, 1967).</w:t>
      </w:r>
    </w:p>
    <w:p w14:paraId="109385FF" w14:textId="77777777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capsules,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combined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sphericity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suggests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relatively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particles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droplet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ionic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gelation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capsules,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particle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(Martins et al., 2017).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Uniformity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 shape close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sphere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favor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release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 (Karim et al., 2022).</w:t>
      </w:r>
    </w:p>
    <w:p w14:paraId="1482CDA3" w14:textId="77777777" w:rsid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moisture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microbiological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capsules.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0.7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system,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parameter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microbial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slowing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lastRenderedPageBreak/>
        <w:t>reactions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(Labuza, 1980;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Guadarrama-Lezama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2014).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aspect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contributes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volatile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processes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volatilization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Guadarrama-Lezama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2014).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alginate-based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maintained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narrow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ranges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reinforcing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Dodero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 2021).</w:t>
      </w:r>
    </w:p>
    <w:p w14:paraId="75DD1B1C" w14:textId="77777777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rough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irregular,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heterogeneous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surface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capsule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contraction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gelation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drying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processes,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intense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consequent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shrinkage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resulting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surface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roughness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microcracks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(Vargas et al., 2018).</w:t>
      </w:r>
    </w:p>
    <w:p w14:paraId="3E65F589" w14:textId="77777777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bands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incorporation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modifications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detectable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suggesting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occurred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predominantly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>.</w:t>
      </w:r>
    </w:p>
    <w:p w14:paraId="48F2886E" w14:textId="77777777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absence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bands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attributed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carvacrol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incorporation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hydrophobic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disperse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droplets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interacting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polymer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becoming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FTIR. Similar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polymeric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extracts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incorporation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FTIR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spectra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Atarés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Chiralt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>, 2016; Johnson et al., 2023).</w:t>
      </w:r>
    </w:p>
    <w:p w14:paraId="77C11725" w14:textId="77777777" w:rsid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retain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inhibit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microbial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evidenced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halos,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free-form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(Bona et al., 2014;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Mostaghimi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2023).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₂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resulted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release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compact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polymeric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network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ionic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cross-linking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porous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facilitates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promoting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faster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r w:rsidRPr="00D23D0C">
        <w:rPr>
          <w:rFonts w:ascii="Times New Roman" w:hAnsi="Times New Roman" w:cs="Times New Roman"/>
          <w:sz w:val="24"/>
          <w:szCs w:val="24"/>
        </w:rPr>
        <w:lastRenderedPageBreak/>
        <w:t xml:space="preserve">more intense release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Mostaghimi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2023).</w:t>
      </w:r>
    </w:p>
    <w:p w14:paraId="0E116413" w14:textId="13066799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variation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diameters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halos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susceptibility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phenolic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thymol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carvacrol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2024).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capable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complementary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manner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promoting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membrane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disruption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permeability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leakage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intracellular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constituents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additive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antimicrobial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(Hamza et al., 2023).</w:t>
      </w:r>
    </w:p>
    <w:p w14:paraId="4C38EE64" w14:textId="77777777" w:rsid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modulating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release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potency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losses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volatilization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oxidation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Bakry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2016;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Dodero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2021). </w:t>
      </w:r>
    </w:p>
    <w:p w14:paraId="174155E2" w14:textId="77777777" w:rsidR="00D23D0C" w:rsidRPr="00D23D0C" w:rsidRDefault="00D23D0C" w:rsidP="00D23D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D0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systems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gradual release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over time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viability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3D0C">
        <w:rPr>
          <w:rFonts w:ascii="Times New Roman" w:hAnsi="Times New Roman" w:cs="Times New Roman"/>
          <w:sz w:val="24"/>
          <w:szCs w:val="24"/>
        </w:rPr>
        <w:t>as natural</w:t>
      </w:r>
      <w:proofErr w:type="gram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alternatives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pathogens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dogs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in light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D0C">
        <w:rPr>
          <w:rFonts w:ascii="Times New Roman" w:hAnsi="Times New Roman" w:cs="Times New Roman"/>
          <w:sz w:val="24"/>
          <w:szCs w:val="24"/>
        </w:rPr>
        <w:t>Štrbac</w:t>
      </w:r>
      <w:proofErr w:type="spellEnd"/>
      <w:r w:rsidRPr="00D23D0C">
        <w:rPr>
          <w:rFonts w:ascii="Times New Roman" w:hAnsi="Times New Roman" w:cs="Times New Roman"/>
          <w:sz w:val="24"/>
          <w:szCs w:val="24"/>
        </w:rPr>
        <w:t xml:space="preserve"> et al., 2021).</w:t>
      </w:r>
    </w:p>
    <w:p w14:paraId="3A05582C" w14:textId="77777777" w:rsid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DB4AE" w14:textId="3DF6A42E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6C4">
        <w:rPr>
          <w:rFonts w:ascii="Times New Roman" w:hAnsi="Times New Roman" w:cs="Times New Roman"/>
          <w:b/>
          <w:bCs/>
          <w:sz w:val="24"/>
          <w:szCs w:val="24"/>
        </w:rPr>
        <w:t>5. CONCLUSION</w:t>
      </w:r>
    </w:p>
    <w:p w14:paraId="52496402" w14:textId="77777777" w:rsidR="000B66C4" w:rsidRPr="000B66C4" w:rsidRDefault="000B66C4" w:rsidP="000B66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6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capsules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systems,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flowability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homogeneous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microbiological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reinforcing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Origanum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Thymus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vulgaris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exhibited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strains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Escherichia coli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Klebsiella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pneumoniae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dogs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evidenced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vitro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inhibition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zones.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encapsulated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systems show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as a natural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uropathogenic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pathogens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scenario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antimicrobial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highlighting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for </w:t>
      </w:r>
      <w:r w:rsidRPr="000B66C4">
        <w:rPr>
          <w:rFonts w:ascii="Times New Roman" w:hAnsi="Times New Roman" w:cs="Times New Roman"/>
          <w:sz w:val="24"/>
          <w:szCs w:val="24"/>
        </w:rPr>
        <w:lastRenderedPageBreak/>
        <w:t xml:space="preserve">future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optimize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formulations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more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models.</w:t>
      </w:r>
    </w:p>
    <w:p w14:paraId="78C87C61" w14:textId="77777777" w:rsid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E87AD" w14:textId="7A145331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6C4">
        <w:rPr>
          <w:rFonts w:ascii="Times New Roman" w:hAnsi="Times New Roman" w:cs="Times New Roman"/>
          <w:b/>
          <w:bCs/>
          <w:sz w:val="24"/>
          <w:szCs w:val="24"/>
        </w:rPr>
        <w:t>FUNDING</w:t>
      </w:r>
    </w:p>
    <w:p w14:paraId="4AF7E7B7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funded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Higher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(CAPES) –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>.</w:t>
      </w:r>
    </w:p>
    <w:p w14:paraId="23813897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6C4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</w:p>
    <w:p w14:paraId="2F64BBEB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6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declare no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>.</w:t>
      </w:r>
    </w:p>
    <w:p w14:paraId="4689EFA7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6C4">
        <w:rPr>
          <w:rFonts w:ascii="Times New Roman" w:hAnsi="Times New Roman" w:cs="Times New Roman"/>
          <w:b/>
          <w:bCs/>
          <w:sz w:val="24"/>
          <w:szCs w:val="24"/>
        </w:rPr>
        <w:t>DATA AVAILABILITY</w:t>
      </w:r>
    </w:p>
    <w:p w14:paraId="34BBA5DF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data are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>.</w:t>
      </w:r>
    </w:p>
    <w:p w14:paraId="78C33F66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6C4">
        <w:rPr>
          <w:rFonts w:ascii="Times New Roman" w:hAnsi="Times New Roman" w:cs="Times New Roman"/>
          <w:b/>
          <w:bCs/>
          <w:sz w:val="24"/>
          <w:szCs w:val="24"/>
        </w:rPr>
        <w:t>ETHICS STATEMENT</w:t>
      </w:r>
    </w:p>
    <w:p w14:paraId="756430E6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Animal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Federal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Campina Grande (CEUA/CSTR/UFCG),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022026.</w:t>
      </w:r>
    </w:p>
    <w:p w14:paraId="1FB4E9B5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6C4">
        <w:rPr>
          <w:rFonts w:ascii="Times New Roman" w:hAnsi="Times New Roman" w:cs="Times New Roman"/>
          <w:b/>
          <w:bCs/>
          <w:sz w:val="24"/>
          <w:szCs w:val="24"/>
        </w:rPr>
        <w:t>AUTHORS’ CONTRIBUTIONS</w:t>
      </w:r>
    </w:p>
    <w:p w14:paraId="7A768BDC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6C4">
        <w:rPr>
          <w:rFonts w:ascii="Times New Roman" w:hAnsi="Times New Roman" w:cs="Times New Roman"/>
          <w:sz w:val="24"/>
          <w:szCs w:val="24"/>
        </w:rPr>
        <w:t xml:space="preserve">CTP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physicochemical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capsules,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assays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interpreted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drafted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. BS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MMS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sample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capsule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. JHAF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microbiological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procedures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experimental data. MSA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FMCM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microbiological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. WFBS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AAT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sample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acquisition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scanning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microscopy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(SEM). MAAM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. AAOF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supervised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experimental design,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reviewed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>.</w:t>
      </w:r>
    </w:p>
    <w:p w14:paraId="30E05F39" w14:textId="77777777" w:rsidR="000B66C4" w:rsidRP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6C4">
        <w:rPr>
          <w:rFonts w:ascii="Times New Roman" w:hAnsi="Times New Roman" w:cs="Times New Roman"/>
          <w:b/>
          <w:bCs/>
          <w:sz w:val="24"/>
          <w:szCs w:val="24"/>
        </w:rPr>
        <w:t>STATEMENT ON GENERATIVE AI</w:t>
      </w:r>
    </w:p>
    <w:p w14:paraId="2AB1E18E" w14:textId="77777777" w:rsidR="000B66C4" w:rsidRDefault="000B66C4" w:rsidP="000B66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6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6C4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0B66C4">
        <w:rPr>
          <w:rFonts w:ascii="Times New Roman" w:hAnsi="Times New Roman" w:cs="Times New Roman"/>
          <w:sz w:val="24"/>
          <w:szCs w:val="24"/>
        </w:rPr>
        <w:t>.</w:t>
      </w:r>
    </w:p>
    <w:p w14:paraId="4A4D97EF" w14:textId="77777777" w:rsidR="0024780E" w:rsidRDefault="0024780E" w:rsidP="000B66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2A0A4" w14:textId="1C458594" w:rsidR="00EF14C2" w:rsidRDefault="00EF14C2" w:rsidP="002478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4C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B0404DC" w14:textId="77777777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Adams, R.P. 2007.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Identification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oil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components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gas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chromatography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mass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spectrometry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4th ed. Carol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Allured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Corporation.</w:t>
      </w:r>
    </w:p>
    <w:p w14:paraId="32B0A46C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B4310" w14:textId="76D70A3C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lastRenderedPageBreak/>
        <w:t>Agilent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Technologies Inc. 2015.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Cary 630 FTIR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spectrometer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user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guide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Santa Clara, CA: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Agilent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Technologies.</w:t>
      </w:r>
    </w:p>
    <w:p w14:paraId="6722F9DA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8A02B" w14:textId="04A27303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Asha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Ramesh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Srinivasan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S. 2011.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beads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release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Applied Polymer Science</w:t>
      </w:r>
      <w:r w:rsidRPr="00C75E18">
        <w:rPr>
          <w:rFonts w:ascii="Times New Roman" w:hAnsi="Times New Roman" w:cs="Times New Roman"/>
          <w:sz w:val="24"/>
          <w:szCs w:val="24"/>
        </w:rPr>
        <w:t xml:space="preserve">, 119: 321–329. </w:t>
      </w:r>
      <w:hyperlink r:id="rId28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https://doi.org/10.1002/app.33821</w:t>
        </w:r>
      </w:hyperlink>
    </w:p>
    <w:p w14:paraId="579DB824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56611" w14:textId="1E525543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Chemists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(AOAC). 1997.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Official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methods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. Arlington, VA, USA: AOAC.</w:t>
      </w:r>
    </w:p>
    <w:p w14:paraId="1871F348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968DA" w14:textId="6A068D91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Atarés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Chiralt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A. 2016.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additives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biodegradable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>Trends in Food Science &amp; Technology</w:t>
      </w:r>
      <w:r w:rsidRPr="00C75E18">
        <w:rPr>
          <w:rFonts w:ascii="Times New Roman" w:hAnsi="Times New Roman" w:cs="Times New Roman"/>
          <w:sz w:val="24"/>
          <w:szCs w:val="24"/>
        </w:rPr>
        <w:t xml:space="preserve">, 48: 51–62. </w:t>
      </w:r>
      <w:hyperlink r:id="rId29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https://doi.org/10.1016/j.tifs.2015.12.001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48B33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84265" w14:textId="005E81C1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Badui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D.S. 2006.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Química de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los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alimentos</w:t>
      </w:r>
      <w:r w:rsidRPr="00C75E18">
        <w:rPr>
          <w:rFonts w:ascii="Times New Roman" w:hAnsi="Times New Roman" w:cs="Times New Roman"/>
          <w:sz w:val="24"/>
          <w:szCs w:val="24"/>
        </w:rPr>
        <w:t xml:space="preserve">. 4th ed. México: Pearson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.</w:t>
      </w:r>
    </w:p>
    <w:p w14:paraId="7581C0EE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7F64E" w14:textId="752DB4E6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Bakry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A.M., Abbas, S., Ali, B.,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Majeed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Abouelwafa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M.Y.,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Mousa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A., Liang, L. 2016.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Microencapsulation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Comprehensive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Reviews in Food Science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Food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Safety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15(1): 143–182. </w:t>
      </w:r>
      <w:hyperlink r:id="rId30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https://doi.org/10.1111/1541-4337.12179</w:t>
        </w:r>
      </w:hyperlink>
    </w:p>
    <w:p w14:paraId="4535A190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0F178" w14:textId="06A6B9E1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Bona, E.A.M., Pinto, F.G.S.,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Fruet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T.K., Jorge, T.C.M., Moura, A.C. 2014. Comparação de métodos para avaliação da atividade antimicrobiana e determinação da concentração inibitória mínima (CIM) de extratos vegetais aquosos e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etanólicos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>Arquivos do Instituto Biológico</w:t>
      </w:r>
      <w:r w:rsidRPr="00C75E18">
        <w:rPr>
          <w:rFonts w:ascii="Times New Roman" w:hAnsi="Times New Roman" w:cs="Times New Roman"/>
          <w:sz w:val="24"/>
          <w:szCs w:val="24"/>
        </w:rPr>
        <w:t xml:space="preserve">, 81(3): 218–225. </w:t>
      </w:r>
      <w:hyperlink r:id="rId31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https://doi.org/10.1590/1808-1657001192012</w:t>
        </w:r>
      </w:hyperlink>
    </w:p>
    <w:p w14:paraId="739CCF86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47FC" w14:textId="5B5C00F0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Carr, R.L. 1965.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solids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>Chemical Engineering</w:t>
      </w:r>
      <w:r w:rsidRPr="00C75E18">
        <w:rPr>
          <w:rFonts w:ascii="Times New Roman" w:hAnsi="Times New Roman" w:cs="Times New Roman"/>
          <w:sz w:val="24"/>
          <w:szCs w:val="24"/>
        </w:rPr>
        <w:t>,72:163–168.</w:t>
      </w:r>
    </w:p>
    <w:p w14:paraId="1A6F4C43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25BA5" w14:textId="283528E9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H., Zhang, C., Li, C., Lin, L. 2024.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Oregano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livestock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medicine.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Animals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14(11): 1532. </w:t>
      </w:r>
      <w:hyperlink r:id="rId32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https://doi.org/10.3390/ani14111532</w:t>
        </w:r>
      </w:hyperlink>
    </w:p>
    <w:p w14:paraId="6CC9E7C3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2C59F" w14:textId="1B06BE94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Dodero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Alloisio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Vicini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S., Castellano, M. 2021.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-date review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nanoparticles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nanofibers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biomedical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Advanced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Materials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Interfaces</w:t>
      </w:r>
      <w:r w:rsidRPr="00C75E18">
        <w:rPr>
          <w:rFonts w:ascii="Times New Roman" w:hAnsi="Times New Roman" w:cs="Times New Roman"/>
          <w:sz w:val="24"/>
          <w:szCs w:val="24"/>
        </w:rPr>
        <w:t xml:space="preserve">, 8(22): 2100809. </w:t>
      </w:r>
      <w:hyperlink r:id="rId33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https://doi.org/10.1002/admi.202100809</w:t>
        </w:r>
      </w:hyperlink>
    </w:p>
    <w:p w14:paraId="3C5D69DF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44831" w14:textId="33FAECDB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Ferreira, L.P.C., Xavier, A.C.R., Santos, J.,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Wartha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E.R.S.A., Pagani, A.A.C. 2021.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Microencapsulation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beet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(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Beta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vulgaris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ionic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gelation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, Society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Development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10(12): e454101220171. </w:t>
      </w:r>
      <w:hyperlink r:id="rId34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https://doi.org/10.33448/rsd-v10i12.20171</w:t>
        </w:r>
      </w:hyperlink>
    </w:p>
    <w:p w14:paraId="38B4BF51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25B10" w14:textId="70A65917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Guadarrama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, A.Y.L., Rodríguez-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Huezo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M.E., Lobato-Calleros, C., Vernon-Carter, E.J., Alvarez-Ramírez, J. 2014.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degradation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carotenoids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microencapsulated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chili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extract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Drying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Technology</w:t>
      </w:r>
      <w:r w:rsidRPr="00C75E18">
        <w:rPr>
          <w:rFonts w:ascii="Times New Roman" w:hAnsi="Times New Roman" w:cs="Times New Roman"/>
          <w:sz w:val="24"/>
          <w:szCs w:val="24"/>
        </w:rPr>
        <w:t xml:space="preserve">, 32(12): 1435–1447. </w:t>
      </w:r>
      <w:hyperlink r:id="rId35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https://doi.org/10.1080/07373937.2014.900502</w:t>
        </w:r>
      </w:hyperlink>
    </w:p>
    <w:p w14:paraId="356A63FF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C57CA" w14:textId="468D4A5B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Hamza, A.A., Al-Hassani, M.K. 2023.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Biofilm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antimicrobial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Serratia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marcescens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isolated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cases.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Population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Therapeutics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Clinical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Pharmacology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30(7): 460–465. </w:t>
      </w:r>
      <w:hyperlink r:id="rId36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https://doi.org/10.47750/jptcp.2023.30.07.051</w:t>
        </w:r>
      </w:hyperlink>
    </w:p>
    <w:p w14:paraId="74A69572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0DE91" w14:textId="36C9BEB9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Hausner, H.H. 1967.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Powder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Metallurgy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, 3(4): 7–13.</w:t>
      </w:r>
    </w:p>
    <w:p w14:paraId="065F39B5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70FA9" w14:textId="17933B86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Johnson, J.B., Walsh, K.B.,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Naiker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Ameer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K. 2023. The use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quantification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Molecules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28(7): 3215. </w:t>
      </w:r>
      <w:hyperlink r:id="rId37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https://doi.org/10.3390/molecules28073215</w:t>
        </w:r>
      </w:hyperlink>
    </w:p>
    <w:p w14:paraId="36F2F388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759A" w14:textId="3479926B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Karim, A.,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Alzubaidi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Haque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M.A., Islam, M.T.,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Uddin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M.N. 2022.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Alginate-based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nanocarriers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delivery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-release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bioactive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Advances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Colloid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Interface Science</w:t>
      </w:r>
      <w:r w:rsidRPr="00C75E18">
        <w:rPr>
          <w:rFonts w:ascii="Times New Roman" w:hAnsi="Times New Roman" w:cs="Times New Roman"/>
          <w:sz w:val="24"/>
          <w:szCs w:val="24"/>
        </w:rPr>
        <w:t xml:space="preserve">, 307: 102744. </w:t>
      </w:r>
      <w:hyperlink r:id="rId38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https://doi.org/10.1016/j.cis.2022.102744</w:t>
        </w:r>
      </w:hyperlink>
    </w:p>
    <w:p w14:paraId="762C765A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C590F" w14:textId="5CBDBDF0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Labuza, T.P. 1980. The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kinetics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food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deterioration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>Food Technology</w:t>
      </w:r>
      <w:r w:rsidRPr="00C75E18">
        <w:rPr>
          <w:rFonts w:ascii="Times New Roman" w:hAnsi="Times New Roman" w:cs="Times New Roman"/>
          <w:sz w:val="24"/>
          <w:szCs w:val="24"/>
        </w:rPr>
        <w:t>, 34: 36–41.</w:t>
      </w:r>
    </w:p>
    <w:p w14:paraId="27796547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14C33" w14:textId="4A07C766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Martins, E.,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Poncelet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D., Rodrigues, R.C., Renard, D. 2017.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encapsulating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agent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drawbacks.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Microencapsulation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34(8): 754–771. </w:t>
      </w:r>
      <w:hyperlink r:id="rId39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https://doi.org/10.1080/02652048.2017.1403495</w:t>
        </w:r>
      </w:hyperlink>
    </w:p>
    <w:p w14:paraId="3FA51E3C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51066" w14:textId="33FE58E5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Matte, E.H.C., Luciano, F.B., Evangelista, A.G. 2023.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animal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antimicrobials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anthelmintics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review.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Animal Health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Research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Reviews</w:t>
      </w:r>
      <w:r w:rsidRPr="00C75E18">
        <w:rPr>
          <w:rFonts w:ascii="Times New Roman" w:hAnsi="Times New Roman" w:cs="Times New Roman"/>
          <w:sz w:val="24"/>
          <w:szCs w:val="24"/>
        </w:rPr>
        <w:t xml:space="preserve">, 24(1): 1–11. </w:t>
      </w:r>
      <w:hyperlink r:id="rId40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https://doi.org/10.1017/S1466252322000093</w:t>
        </w:r>
      </w:hyperlink>
    </w:p>
    <w:p w14:paraId="444641D7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30B05" w14:textId="63941DC0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Mostaghimi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Ghasemzadeh-Mohammadi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Akbari-Alavijeh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Hosseini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S.M. 2023.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characterization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antimicrobial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hydrogel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beads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cinnamon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nanoemulsion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Biomaterials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Science, Polymer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Edition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34(15): 2144–2160. </w:t>
      </w:r>
      <w:hyperlink r:id="rId41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https://doi.org/10.1080/09205063.2023.2230843</w:t>
        </w:r>
      </w:hyperlink>
    </w:p>
    <w:p w14:paraId="50107479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AA34B" w14:textId="65F701E4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Norma Oficial Mexicana NOM-247-SSA1-2008. 2008.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Productos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servicios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México: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Secretaría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de Salud.</w:t>
      </w:r>
    </w:p>
    <w:p w14:paraId="1EE5A940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76469" w14:textId="35873414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Nuță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D.C.,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Missir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A.V., Popa, G.L.,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Costea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Chirita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C. 2021.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fight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microbial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biofilms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—a review.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>Processes</w:t>
      </w:r>
      <w:r w:rsidRPr="00C75E18">
        <w:rPr>
          <w:rFonts w:ascii="Times New Roman" w:hAnsi="Times New Roman" w:cs="Times New Roman"/>
          <w:sz w:val="24"/>
          <w:szCs w:val="24"/>
        </w:rPr>
        <w:t xml:space="preserve">, 9(3): 537. </w:t>
      </w:r>
      <w:hyperlink r:id="rId42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https://doi.org/10.3390/pr9030537</w:t>
        </w:r>
      </w:hyperlink>
    </w:p>
    <w:p w14:paraId="4298B400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40D20" w14:textId="1200C52B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Pagani, A.A.C., Oliveira, M.C., Xavier, A.C.R., Morais, A.L.B., Nunes, T.P., Silva, G.F. 2014.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drops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papaya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Carica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papaya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) per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spherification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Engineering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Innovative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Technology</w:t>
      </w:r>
      <w:r w:rsidRPr="00C75E18">
        <w:rPr>
          <w:rFonts w:ascii="Times New Roman" w:hAnsi="Times New Roman" w:cs="Times New Roman"/>
          <w:sz w:val="24"/>
          <w:szCs w:val="24"/>
        </w:rPr>
        <w:t>, 4(6):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5E18">
        <w:rPr>
          <w:rFonts w:ascii="Times New Roman" w:hAnsi="Times New Roman" w:cs="Times New Roman"/>
          <w:sz w:val="24"/>
          <w:szCs w:val="24"/>
        </w:rPr>
        <w:t>9.</w:t>
      </w:r>
    </w:p>
    <w:p w14:paraId="0B445AC2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5D91" w14:textId="23D7076B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Rosenberg, M., Young, S.L. 1993.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Water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activity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theory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application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food</w:t>
      </w:r>
      <w:r w:rsidRPr="00C75E18">
        <w:rPr>
          <w:rFonts w:ascii="Times New Roman" w:hAnsi="Times New Roman" w:cs="Times New Roman"/>
          <w:sz w:val="24"/>
          <w:szCs w:val="24"/>
        </w:rPr>
        <w:t xml:space="preserve">. New York: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75543ADA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A4E74" w14:textId="3CE697A4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Scarpellini, R.,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Stefanetti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V.,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Cappelli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Capomaccio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Passamonti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F. 2025. Antimicrobial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companion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animals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Animals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15(11): 1547. </w:t>
      </w:r>
      <w:hyperlink r:id="rId43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https://doi.org/10.3390/ani15111547</w:t>
        </w:r>
      </w:hyperlink>
    </w:p>
    <w:p w14:paraId="2921790F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09C9F" w14:textId="7D25AB16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Sellera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F.P., Silva, L.C., Moura, Q., Fuga, B., Fontana, H., Esposito, F.,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Lincopan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N. 2025.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alliances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tackle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antimicrobial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Diagnostic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Microbiology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Infectious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Disease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hyperlink r:id="rId44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https://doi.org/10.1016/j.diagmicrobio.2025.117231</w:t>
        </w:r>
      </w:hyperlink>
    </w:p>
    <w:p w14:paraId="797559CC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5497F" w14:textId="7826897C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lastRenderedPageBreak/>
        <w:t xml:space="preserve">Silva, J.M., Menezes, J., Fernandes, L., Marques, C., Santos Costa, S.,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Timofte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D., Amaral, A.J., Pomba, C. 2025.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multidrug-resistant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bacteria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Frontiers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Cellular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Infection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Microbiology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15: 1582411. </w:t>
      </w:r>
      <w:hyperlink r:id="rId45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https://doi.org/10.3389/fcimb.2025.1582411</w:t>
        </w:r>
      </w:hyperlink>
    </w:p>
    <w:p w14:paraId="2078B828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1366C" w14:textId="05A18505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Smith, B.C. 2018.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Infrared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spectral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interpretation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: a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systematic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approach</w:t>
      </w:r>
      <w:r w:rsidRPr="00C75E18">
        <w:rPr>
          <w:rFonts w:ascii="Times New Roman" w:hAnsi="Times New Roman" w:cs="Times New Roman"/>
          <w:sz w:val="24"/>
          <w:szCs w:val="24"/>
        </w:rPr>
        <w:t>. 2nd ed. Boca Raton: CRC Press.</w:t>
      </w:r>
    </w:p>
    <w:p w14:paraId="34D3B4E7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1AA4B" w14:textId="6401D19F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Sousa, A.T.H.I.,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Makino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H., Bruno, V.C.M., Candido, S.L., Nogueira, B.S., Menezes, I.G., Dutra, V. 2019. Perfil de resistência antimicrobiana de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pneumoniae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>Arquivo Brasileiro de Medicina Veterinária e Zootecnia</w:t>
      </w:r>
      <w:r w:rsidRPr="00C75E18">
        <w:rPr>
          <w:rFonts w:ascii="Times New Roman" w:hAnsi="Times New Roman" w:cs="Times New Roman"/>
          <w:sz w:val="24"/>
          <w:szCs w:val="24"/>
        </w:rPr>
        <w:t xml:space="preserve">, 71(2): 584–593. </w:t>
      </w:r>
      <w:hyperlink r:id="rId46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https://doi.org/10.1590/1678-4162-10599</w:t>
        </w:r>
      </w:hyperlink>
    </w:p>
    <w:p w14:paraId="4654E638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EF004" w14:textId="41A08681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5E18">
        <w:rPr>
          <w:rFonts w:ascii="Times New Roman" w:hAnsi="Times New Roman" w:cs="Times New Roman"/>
          <w:sz w:val="24"/>
          <w:szCs w:val="24"/>
        </w:rPr>
        <w:t>Štrbac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F.,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Petrović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Stojanović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Ratajac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R. 2021.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oils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 dogs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cats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Veterinary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Republic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Srpska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, 21(1–2): 238–251.</w:t>
      </w:r>
    </w:p>
    <w:p w14:paraId="173A8B2B" w14:textId="77777777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United States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Pharmacopeia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(USP). 2022. &lt;616&gt; Bulk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tapped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powders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Rockville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: USP Convention.</w:t>
      </w:r>
    </w:p>
    <w:p w14:paraId="40EB9DDA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9AF90" w14:textId="7CF43D96" w:rsidR="00EF14C2" w:rsidRPr="00C75E18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Dool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H.A.N.D.,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Kratz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P.D. 1963. A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generalization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retention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index system.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Chromatography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>, 11: 463–471.</w:t>
      </w:r>
    </w:p>
    <w:p w14:paraId="40476DD9" w14:textId="77777777" w:rsidR="00914DC3" w:rsidRDefault="00914DC3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0F0F7" w14:textId="2F393232" w:rsidR="00EF14C2" w:rsidRDefault="00EF14C2" w:rsidP="00914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E18">
        <w:rPr>
          <w:rFonts w:ascii="Times New Roman" w:hAnsi="Times New Roman" w:cs="Times New Roman"/>
          <w:sz w:val="24"/>
          <w:szCs w:val="24"/>
        </w:rPr>
        <w:t xml:space="preserve">Vargas, P.O., Pereira, N.R., Guimaraes, A.O.,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Waldman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, W.R., Pereira, V.R. 2018.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Shrinkage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deformation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drying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E18">
        <w:rPr>
          <w:rFonts w:ascii="Times New Roman" w:hAnsi="Times New Roman" w:cs="Times New Roman"/>
          <w:sz w:val="24"/>
          <w:szCs w:val="24"/>
        </w:rPr>
        <w:t>alginate</w:t>
      </w:r>
      <w:proofErr w:type="spellEnd"/>
      <w:r w:rsidRPr="00C75E18">
        <w:rPr>
          <w:rFonts w:ascii="Times New Roman" w:hAnsi="Times New Roman" w:cs="Times New Roman"/>
          <w:sz w:val="24"/>
          <w:szCs w:val="24"/>
        </w:rPr>
        <w:t xml:space="preserve">. </w:t>
      </w:r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LWT – Food Science </w:t>
      </w:r>
      <w:proofErr w:type="spellStart"/>
      <w:r w:rsidRPr="00C75E1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C75E18">
        <w:rPr>
          <w:rFonts w:ascii="Times New Roman" w:hAnsi="Times New Roman" w:cs="Times New Roman"/>
          <w:i/>
          <w:iCs/>
          <w:sz w:val="24"/>
          <w:szCs w:val="24"/>
        </w:rPr>
        <w:t xml:space="preserve"> Technology</w:t>
      </w:r>
      <w:r w:rsidRPr="00C75E18">
        <w:rPr>
          <w:rFonts w:ascii="Times New Roman" w:hAnsi="Times New Roman" w:cs="Times New Roman"/>
          <w:sz w:val="24"/>
          <w:szCs w:val="24"/>
        </w:rPr>
        <w:t xml:space="preserve">, 97: 213–222. </w:t>
      </w:r>
      <w:hyperlink r:id="rId47" w:tgtFrame="_new" w:history="1">
        <w:r w:rsidRPr="00C75E1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https://doi.org/10.1016/j.lwt.2018.06.056</w:t>
        </w:r>
      </w:hyperlink>
    </w:p>
    <w:p w14:paraId="2FD769C1" w14:textId="77777777" w:rsidR="00EF14C2" w:rsidRDefault="00EF14C2" w:rsidP="002478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7C007" w14:textId="290E99B9" w:rsidR="00E71DCB" w:rsidRPr="00D57465" w:rsidRDefault="00D57465" w:rsidP="002478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1. Chemical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constituents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oregano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thyme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oils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obtained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57465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D57465">
        <w:rPr>
          <w:rFonts w:ascii="Times New Roman" w:hAnsi="Times New Roman" w:cs="Times New Roman"/>
          <w:b/>
          <w:bCs/>
          <w:sz w:val="24"/>
          <w:szCs w:val="24"/>
        </w:rPr>
        <w:t xml:space="preserve"> GC-MS.</w:t>
      </w:r>
    </w:p>
    <w:tbl>
      <w:tblPr>
        <w:tblStyle w:val="Tabelacomgrade"/>
        <w:tblW w:w="7366" w:type="dxa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1418"/>
        <w:gridCol w:w="1275"/>
      </w:tblGrid>
      <w:tr w:rsidR="00D57465" w14:paraId="439D1AEF" w14:textId="77777777" w:rsidTr="00D57465">
        <w:trPr>
          <w:jc w:val="center"/>
        </w:trPr>
        <w:tc>
          <w:tcPr>
            <w:tcW w:w="1555" w:type="dxa"/>
            <w:vAlign w:val="center"/>
          </w:tcPr>
          <w:p w14:paraId="459626CF" w14:textId="7FD35D6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szCs w:val="28"/>
              </w:rPr>
              <w:t>Essential</w:t>
            </w:r>
            <w:proofErr w:type="spellEnd"/>
            <w:r w:rsidRPr="00D57465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D57465">
              <w:rPr>
                <w:rFonts w:eastAsia="Times New Roman"/>
                <w:szCs w:val="28"/>
              </w:rPr>
              <w:t>oil</w:t>
            </w:r>
            <w:proofErr w:type="spellEnd"/>
          </w:p>
        </w:tc>
        <w:tc>
          <w:tcPr>
            <w:tcW w:w="3118" w:type="dxa"/>
            <w:vAlign w:val="center"/>
          </w:tcPr>
          <w:p w14:paraId="2C5BA087" w14:textId="1C7FC132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szCs w:val="28"/>
              </w:rPr>
              <w:t>Compound</w:t>
            </w:r>
            <w:proofErr w:type="spellEnd"/>
          </w:p>
        </w:tc>
        <w:tc>
          <w:tcPr>
            <w:tcW w:w="1418" w:type="dxa"/>
            <w:vAlign w:val="center"/>
          </w:tcPr>
          <w:p w14:paraId="522A1FE7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szCs w:val="28"/>
              </w:rPr>
              <w:t>TR (min)</w:t>
            </w:r>
          </w:p>
        </w:tc>
        <w:tc>
          <w:tcPr>
            <w:tcW w:w="1275" w:type="dxa"/>
            <w:vAlign w:val="center"/>
          </w:tcPr>
          <w:p w14:paraId="3516B7FC" w14:textId="25D3E9FB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szCs w:val="28"/>
              </w:rPr>
              <w:t>A</w:t>
            </w:r>
            <w:r w:rsidRPr="000E7950">
              <w:rPr>
                <w:rFonts w:eastAsia="Times New Roman"/>
                <w:szCs w:val="28"/>
              </w:rPr>
              <w:t>rea (%)</w:t>
            </w:r>
          </w:p>
        </w:tc>
      </w:tr>
      <w:tr w:rsidR="00D57465" w14:paraId="15D9895F" w14:textId="77777777" w:rsidTr="00D57465">
        <w:trPr>
          <w:jc w:val="center"/>
        </w:trPr>
        <w:tc>
          <w:tcPr>
            <w:tcW w:w="1555" w:type="dxa"/>
            <w:vAlign w:val="center"/>
          </w:tcPr>
          <w:p w14:paraId="7D1F1B3C" w14:textId="4FF253FC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Oregano</w:t>
            </w:r>
            <w:proofErr w:type="spellEnd"/>
          </w:p>
        </w:tc>
        <w:tc>
          <w:tcPr>
            <w:tcW w:w="3118" w:type="dxa"/>
            <w:vAlign w:val="center"/>
          </w:tcPr>
          <w:p w14:paraId="2D64D9E3" w14:textId="1C8714CA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D57465">
              <w:rPr>
                <w:rFonts w:eastAsia="Times New Roman"/>
                <w:b w:val="0"/>
                <w:bCs w:val="0"/>
              </w:rPr>
              <w:t>p-</w:t>
            </w:r>
            <w:proofErr w:type="spellStart"/>
            <w:r w:rsidRPr="00D57465">
              <w:rPr>
                <w:rFonts w:eastAsia="Times New Roman"/>
                <w:b w:val="0"/>
                <w:bCs w:val="0"/>
              </w:rPr>
              <w:t>cymene</w:t>
            </w:r>
            <w:proofErr w:type="spellEnd"/>
          </w:p>
        </w:tc>
        <w:tc>
          <w:tcPr>
            <w:tcW w:w="1418" w:type="dxa"/>
            <w:vAlign w:val="center"/>
          </w:tcPr>
          <w:p w14:paraId="1107B482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12,22</w:t>
            </w:r>
          </w:p>
        </w:tc>
        <w:tc>
          <w:tcPr>
            <w:tcW w:w="1275" w:type="dxa"/>
            <w:vAlign w:val="center"/>
          </w:tcPr>
          <w:p w14:paraId="6FA486F0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7,1</w:t>
            </w:r>
          </w:p>
        </w:tc>
      </w:tr>
      <w:tr w:rsidR="00D57465" w14:paraId="7C857AE3" w14:textId="77777777" w:rsidTr="00D57465">
        <w:trPr>
          <w:jc w:val="center"/>
        </w:trPr>
        <w:tc>
          <w:tcPr>
            <w:tcW w:w="1555" w:type="dxa"/>
            <w:vAlign w:val="center"/>
          </w:tcPr>
          <w:p w14:paraId="5577AF71" w14:textId="5FF7CEB0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Oregano</w:t>
            </w:r>
            <w:proofErr w:type="spellEnd"/>
          </w:p>
        </w:tc>
        <w:tc>
          <w:tcPr>
            <w:tcW w:w="3118" w:type="dxa"/>
            <w:vAlign w:val="center"/>
          </w:tcPr>
          <w:p w14:paraId="6B926926" w14:textId="769400FD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D57465">
              <w:rPr>
                <w:rFonts w:eastAsia="Times New Roman"/>
                <w:b w:val="0"/>
                <w:bCs w:val="0"/>
              </w:rPr>
              <w:t>γ-</w:t>
            </w:r>
            <w:proofErr w:type="spellStart"/>
            <w:r w:rsidRPr="00D57465">
              <w:rPr>
                <w:rFonts w:eastAsia="Times New Roman"/>
                <w:b w:val="0"/>
                <w:bCs w:val="0"/>
              </w:rPr>
              <w:t>terpinene</w:t>
            </w:r>
            <w:proofErr w:type="spellEnd"/>
          </w:p>
        </w:tc>
        <w:tc>
          <w:tcPr>
            <w:tcW w:w="1418" w:type="dxa"/>
            <w:vAlign w:val="center"/>
          </w:tcPr>
          <w:p w14:paraId="6AD8D49B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13,82</w:t>
            </w:r>
          </w:p>
        </w:tc>
        <w:tc>
          <w:tcPr>
            <w:tcW w:w="1275" w:type="dxa"/>
            <w:vAlign w:val="center"/>
          </w:tcPr>
          <w:p w14:paraId="1B613D9D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3,0</w:t>
            </w:r>
          </w:p>
        </w:tc>
      </w:tr>
      <w:tr w:rsidR="00D57465" w14:paraId="4331747F" w14:textId="77777777" w:rsidTr="00D57465">
        <w:trPr>
          <w:jc w:val="center"/>
        </w:trPr>
        <w:tc>
          <w:tcPr>
            <w:tcW w:w="1555" w:type="dxa"/>
            <w:vAlign w:val="center"/>
          </w:tcPr>
          <w:p w14:paraId="27C841EA" w14:textId="47C5A318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Oregano</w:t>
            </w:r>
            <w:proofErr w:type="spellEnd"/>
          </w:p>
        </w:tc>
        <w:tc>
          <w:tcPr>
            <w:tcW w:w="3118" w:type="dxa"/>
            <w:vAlign w:val="center"/>
          </w:tcPr>
          <w:p w14:paraId="489573C4" w14:textId="1C1D7FC4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Carvacrol</w:t>
            </w:r>
            <w:proofErr w:type="spellEnd"/>
          </w:p>
        </w:tc>
        <w:tc>
          <w:tcPr>
            <w:tcW w:w="1418" w:type="dxa"/>
            <w:vAlign w:val="center"/>
          </w:tcPr>
          <w:p w14:paraId="2887042A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25,8</w:t>
            </w:r>
          </w:p>
        </w:tc>
        <w:tc>
          <w:tcPr>
            <w:tcW w:w="1275" w:type="dxa"/>
            <w:vAlign w:val="center"/>
          </w:tcPr>
          <w:p w14:paraId="5EB7908E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83,8</w:t>
            </w:r>
          </w:p>
        </w:tc>
      </w:tr>
      <w:tr w:rsidR="00D57465" w14:paraId="3EE4D115" w14:textId="77777777" w:rsidTr="00D57465">
        <w:trPr>
          <w:jc w:val="center"/>
        </w:trPr>
        <w:tc>
          <w:tcPr>
            <w:tcW w:w="1555" w:type="dxa"/>
            <w:vAlign w:val="center"/>
          </w:tcPr>
          <w:p w14:paraId="5B4F0EF7" w14:textId="6F596535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Oregano</w:t>
            </w:r>
            <w:proofErr w:type="spellEnd"/>
          </w:p>
        </w:tc>
        <w:tc>
          <w:tcPr>
            <w:tcW w:w="3118" w:type="dxa"/>
            <w:vAlign w:val="center"/>
          </w:tcPr>
          <w:p w14:paraId="02FE09FA" w14:textId="784F24B1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Caryophyllene</w:t>
            </w:r>
            <w:proofErr w:type="spellEnd"/>
          </w:p>
        </w:tc>
        <w:tc>
          <w:tcPr>
            <w:tcW w:w="1418" w:type="dxa"/>
            <w:vAlign w:val="center"/>
          </w:tcPr>
          <w:p w14:paraId="66D1730A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30,53</w:t>
            </w:r>
          </w:p>
        </w:tc>
        <w:tc>
          <w:tcPr>
            <w:tcW w:w="1275" w:type="dxa"/>
            <w:vAlign w:val="center"/>
          </w:tcPr>
          <w:p w14:paraId="0C3741D2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6,0</w:t>
            </w:r>
          </w:p>
        </w:tc>
      </w:tr>
      <w:tr w:rsidR="00D57465" w14:paraId="3828C513" w14:textId="77777777" w:rsidTr="00D57465">
        <w:trPr>
          <w:jc w:val="center"/>
        </w:trPr>
        <w:tc>
          <w:tcPr>
            <w:tcW w:w="1555" w:type="dxa"/>
            <w:vAlign w:val="center"/>
          </w:tcPr>
          <w:p w14:paraId="6B35EA84" w14:textId="645C5C82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Thyme</w:t>
            </w:r>
            <w:proofErr w:type="spellEnd"/>
          </w:p>
        </w:tc>
        <w:tc>
          <w:tcPr>
            <w:tcW w:w="3118" w:type="dxa"/>
            <w:vAlign w:val="center"/>
          </w:tcPr>
          <w:p w14:paraId="0E72CCA2" w14:textId="5E9C8941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D57465">
              <w:rPr>
                <w:rFonts w:eastAsia="Times New Roman"/>
                <w:b w:val="0"/>
                <w:bCs w:val="0"/>
              </w:rPr>
              <w:t>p-</w:t>
            </w:r>
            <w:proofErr w:type="spellStart"/>
            <w:r w:rsidRPr="00D57465">
              <w:rPr>
                <w:rFonts w:eastAsia="Times New Roman"/>
                <w:b w:val="0"/>
                <w:bCs w:val="0"/>
              </w:rPr>
              <w:t>Cymene</w:t>
            </w:r>
            <w:proofErr w:type="spellEnd"/>
          </w:p>
        </w:tc>
        <w:tc>
          <w:tcPr>
            <w:tcW w:w="1418" w:type="dxa"/>
            <w:vAlign w:val="center"/>
          </w:tcPr>
          <w:p w14:paraId="65210DEF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12,4</w:t>
            </w:r>
          </w:p>
        </w:tc>
        <w:tc>
          <w:tcPr>
            <w:tcW w:w="1275" w:type="dxa"/>
            <w:vAlign w:val="center"/>
          </w:tcPr>
          <w:p w14:paraId="402074AC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24,0</w:t>
            </w:r>
          </w:p>
        </w:tc>
      </w:tr>
      <w:tr w:rsidR="00D57465" w14:paraId="22B506A7" w14:textId="77777777" w:rsidTr="00D57465">
        <w:trPr>
          <w:jc w:val="center"/>
        </w:trPr>
        <w:tc>
          <w:tcPr>
            <w:tcW w:w="1555" w:type="dxa"/>
            <w:vAlign w:val="center"/>
          </w:tcPr>
          <w:p w14:paraId="0F1D3489" w14:textId="704AB854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Thyme</w:t>
            </w:r>
            <w:proofErr w:type="spellEnd"/>
          </w:p>
        </w:tc>
        <w:tc>
          <w:tcPr>
            <w:tcW w:w="3118" w:type="dxa"/>
            <w:vAlign w:val="center"/>
          </w:tcPr>
          <w:p w14:paraId="6E751BF2" w14:textId="60439E1A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Linalool</w:t>
            </w:r>
            <w:proofErr w:type="spellEnd"/>
          </w:p>
        </w:tc>
        <w:tc>
          <w:tcPr>
            <w:tcW w:w="1418" w:type="dxa"/>
            <w:vAlign w:val="center"/>
          </w:tcPr>
          <w:p w14:paraId="1DBE0B40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16,0</w:t>
            </w:r>
          </w:p>
        </w:tc>
        <w:tc>
          <w:tcPr>
            <w:tcW w:w="1275" w:type="dxa"/>
            <w:vAlign w:val="center"/>
          </w:tcPr>
          <w:p w14:paraId="1EC2654D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3,9</w:t>
            </w:r>
          </w:p>
        </w:tc>
      </w:tr>
      <w:tr w:rsidR="00D57465" w14:paraId="7C2C7431" w14:textId="77777777" w:rsidTr="00D57465">
        <w:trPr>
          <w:jc w:val="center"/>
        </w:trPr>
        <w:tc>
          <w:tcPr>
            <w:tcW w:w="1555" w:type="dxa"/>
            <w:vAlign w:val="center"/>
          </w:tcPr>
          <w:p w14:paraId="15CCF9AE" w14:textId="7FB16F66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Thyme</w:t>
            </w:r>
            <w:proofErr w:type="spellEnd"/>
          </w:p>
        </w:tc>
        <w:tc>
          <w:tcPr>
            <w:tcW w:w="3118" w:type="dxa"/>
            <w:vAlign w:val="center"/>
          </w:tcPr>
          <w:p w14:paraId="739346D9" w14:textId="734AE2E8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</w:rPr>
              <w:t>Thymol</w:t>
            </w:r>
            <w:proofErr w:type="spellEnd"/>
          </w:p>
        </w:tc>
        <w:tc>
          <w:tcPr>
            <w:tcW w:w="1418" w:type="dxa"/>
            <w:vAlign w:val="center"/>
          </w:tcPr>
          <w:p w14:paraId="7411ED56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25,4</w:t>
            </w:r>
          </w:p>
        </w:tc>
        <w:tc>
          <w:tcPr>
            <w:tcW w:w="1275" w:type="dxa"/>
            <w:vAlign w:val="center"/>
          </w:tcPr>
          <w:p w14:paraId="6ECAFBD8" w14:textId="77777777" w:rsidR="00D57465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67,5</w:t>
            </w:r>
          </w:p>
        </w:tc>
      </w:tr>
      <w:tr w:rsidR="00D57465" w14:paraId="63A9B8B2" w14:textId="77777777" w:rsidTr="00D57465">
        <w:trPr>
          <w:jc w:val="center"/>
        </w:trPr>
        <w:tc>
          <w:tcPr>
            <w:tcW w:w="1555" w:type="dxa"/>
            <w:vAlign w:val="center"/>
          </w:tcPr>
          <w:p w14:paraId="50727D34" w14:textId="26718D23" w:rsidR="00D57465" w:rsidRPr="000E7950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  <w:szCs w:val="28"/>
              </w:rPr>
            </w:pPr>
            <w:proofErr w:type="spellStart"/>
            <w:r w:rsidRPr="00D57465">
              <w:rPr>
                <w:rFonts w:eastAsia="Times New Roman"/>
                <w:b w:val="0"/>
                <w:bCs w:val="0"/>
                <w:szCs w:val="28"/>
              </w:rPr>
              <w:t>Thyme</w:t>
            </w:r>
            <w:proofErr w:type="spellEnd"/>
          </w:p>
        </w:tc>
        <w:tc>
          <w:tcPr>
            <w:tcW w:w="3118" w:type="dxa"/>
            <w:vAlign w:val="center"/>
          </w:tcPr>
          <w:p w14:paraId="533A020A" w14:textId="16B3D545" w:rsidR="00D57465" w:rsidRPr="000E7950" w:rsidRDefault="00D57465" w:rsidP="0024780E">
            <w:pPr>
              <w:pStyle w:val="Estilo2"/>
              <w:rPr>
                <w:rFonts w:eastAsia="Times New Roman"/>
                <w:b w:val="0"/>
                <w:bCs w:val="0"/>
                <w:szCs w:val="28"/>
              </w:rPr>
            </w:pPr>
            <w:r w:rsidRPr="00D57465">
              <w:rPr>
                <w:rFonts w:eastAsia="Times New Roman"/>
                <w:b w:val="0"/>
                <w:bCs w:val="0"/>
                <w:szCs w:val="28"/>
              </w:rPr>
              <w:t>2-Ethyl-4,5-dimethylphenol</w:t>
            </w:r>
          </w:p>
        </w:tc>
        <w:tc>
          <w:tcPr>
            <w:tcW w:w="1418" w:type="dxa"/>
            <w:vAlign w:val="center"/>
          </w:tcPr>
          <w:p w14:paraId="736D24C7" w14:textId="77777777" w:rsidR="00D57465" w:rsidRPr="000E7950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  <w:szCs w:val="28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25,6</w:t>
            </w:r>
          </w:p>
        </w:tc>
        <w:tc>
          <w:tcPr>
            <w:tcW w:w="1275" w:type="dxa"/>
            <w:vAlign w:val="center"/>
          </w:tcPr>
          <w:p w14:paraId="3D28DCC1" w14:textId="77777777" w:rsidR="00D57465" w:rsidRPr="000E7950" w:rsidRDefault="00D57465" w:rsidP="0024780E">
            <w:pPr>
              <w:pStyle w:val="Estilo2"/>
              <w:jc w:val="center"/>
              <w:rPr>
                <w:rFonts w:eastAsia="Times New Roman"/>
                <w:b w:val="0"/>
                <w:bCs w:val="0"/>
                <w:szCs w:val="28"/>
              </w:rPr>
            </w:pPr>
            <w:r w:rsidRPr="000E7950">
              <w:rPr>
                <w:rFonts w:eastAsia="Times New Roman"/>
                <w:b w:val="0"/>
                <w:bCs w:val="0"/>
                <w:szCs w:val="28"/>
              </w:rPr>
              <w:t>4,5</w:t>
            </w:r>
          </w:p>
        </w:tc>
      </w:tr>
    </w:tbl>
    <w:p w14:paraId="79EC75ED" w14:textId="77777777" w:rsidR="00D57465" w:rsidRPr="000B66C4" w:rsidRDefault="00D57465" w:rsidP="002478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72B70" w14:textId="5CC1DC68" w:rsidR="000B66C4" w:rsidRDefault="00E71DCB" w:rsidP="002478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2. 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Physicochemical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properties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capsules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containing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mixture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DCB">
        <w:rPr>
          <w:rFonts w:ascii="Times New Roman" w:hAnsi="Times New Roman" w:cs="Times New Roman"/>
          <w:b/>
          <w:bCs/>
          <w:sz w:val="24"/>
          <w:szCs w:val="24"/>
        </w:rPr>
        <w:t>oils</w:t>
      </w:r>
      <w:proofErr w:type="spellEnd"/>
      <w:r w:rsidRPr="00E71D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24"/>
        <w:gridCol w:w="1940"/>
      </w:tblGrid>
      <w:tr w:rsidR="00E71DCB" w:rsidRPr="008E62AC" w14:paraId="354BBDF8" w14:textId="77777777" w:rsidTr="0032093E">
        <w:trPr>
          <w:jc w:val="center"/>
        </w:trPr>
        <w:tc>
          <w:tcPr>
            <w:tcW w:w="3924" w:type="dxa"/>
            <w:hideMark/>
          </w:tcPr>
          <w:p w14:paraId="7A7A10CE" w14:textId="018857DD" w:rsidR="00E71DCB" w:rsidRPr="008E62AC" w:rsidRDefault="00E71DCB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E71DCB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1940" w:type="dxa"/>
            <w:hideMark/>
          </w:tcPr>
          <w:p w14:paraId="37E3B2B6" w14:textId="1ED62685" w:rsidR="00E71DCB" w:rsidRPr="008E62AC" w:rsidRDefault="00E71DCB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E71DCB">
              <w:rPr>
                <w:b/>
                <w:bCs/>
              </w:rPr>
              <w:t>Measured</w:t>
            </w:r>
            <w:proofErr w:type="spellEnd"/>
            <w:r w:rsidRPr="00E71DCB">
              <w:rPr>
                <w:b/>
                <w:bCs/>
              </w:rPr>
              <w:t xml:space="preserve"> </w:t>
            </w:r>
            <w:proofErr w:type="spellStart"/>
            <w:r w:rsidRPr="00E71DCB">
              <w:rPr>
                <w:b/>
                <w:bCs/>
              </w:rPr>
              <w:t>Value</w:t>
            </w:r>
            <w:proofErr w:type="spellEnd"/>
          </w:p>
        </w:tc>
      </w:tr>
      <w:tr w:rsidR="00E71DCB" w:rsidRPr="008E62AC" w14:paraId="77AC74F1" w14:textId="77777777" w:rsidTr="0032093E">
        <w:trPr>
          <w:jc w:val="center"/>
        </w:trPr>
        <w:tc>
          <w:tcPr>
            <w:tcW w:w="3924" w:type="dxa"/>
            <w:hideMark/>
          </w:tcPr>
          <w:p w14:paraId="35C3A25E" w14:textId="51473A79" w:rsidR="00E71DCB" w:rsidRPr="00E71DCB" w:rsidRDefault="00E71DCB" w:rsidP="0024780E">
            <w:pPr>
              <w:pStyle w:val="NormalWeb"/>
              <w:spacing w:line="360" w:lineRule="auto"/>
              <w:jc w:val="center"/>
              <w:rPr>
                <w:highlight w:val="yellow"/>
              </w:rPr>
            </w:pPr>
            <w:r w:rsidRPr="00E71DCB">
              <w:lastRenderedPageBreak/>
              <w:t xml:space="preserve">Bulk </w:t>
            </w:r>
            <w:proofErr w:type="spellStart"/>
            <w:r w:rsidRPr="00E71DCB">
              <w:t>density</w:t>
            </w:r>
            <w:proofErr w:type="spellEnd"/>
            <w:r w:rsidRPr="00E71DCB">
              <w:t xml:space="preserve"> (</w:t>
            </w:r>
            <w:proofErr w:type="gramStart"/>
            <w:r w:rsidRPr="00E71DCB">
              <w:t xml:space="preserve">BD)   </w:t>
            </w:r>
            <w:proofErr w:type="gramEnd"/>
            <w:r w:rsidRPr="00E71DCB">
              <w:t xml:space="preserve"> </w:t>
            </w:r>
          </w:p>
        </w:tc>
        <w:tc>
          <w:tcPr>
            <w:tcW w:w="1940" w:type="dxa"/>
            <w:hideMark/>
          </w:tcPr>
          <w:p w14:paraId="2D38D0BC" w14:textId="248698B2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0</w:t>
            </w:r>
            <w:r w:rsidR="004906C4">
              <w:t>,</w:t>
            </w:r>
            <w:r w:rsidRPr="008E62AC">
              <w:t>80 g/</w:t>
            </w:r>
            <w:proofErr w:type="spellStart"/>
            <w:r w:rsidRPr="008E62AC">
              <w:t>mL</w:t>
            </w:r>
            <w:proofErr w:type="spellEnd"/>
          </w:p>
        </w:tc>
      </w:tr>
      <w:tr w:rsidR="00E71DCB" w:rsidRPr="008E62AC" w14:paraId="2FA49855" w14:textId="77777777" w:rsidTr="0032093E">
        <w:trPr>
          <w:jc w:val="center"/>
        </w:trPr>
        <w:tc>
          <w:tcPr>
            <w:tcW w:w="3924" w:type="dxa"/>
            <w:hideMark/>
          </w:tcPr>
          <w:p w14:paraId="2E0F27AE" w14:textId="4B78A643" w:rsidR="00E71DCB" w:rsidRPr="00E71DCB" w:rsidRDefault="00E71DCB" w:rsidP="0024780E">
            <w:pPr>
              <w:pStyle w:val="NormalWeb"/>
              <w:spacing w:line="360" w:lineRule="auto"/>
              <w:jc w:val="center"/>
              <w:rPr>
                <w:highlight w:val="yellow"/>
              </w:rPr>
            </w:pPr>
            <w:proofErr w:type="spellStart"/>
            <w:r w:rsidRPr="00E71DCB">
              <w:t>Tapped</w:t>
            </w:r>
            <w:proofErr w:type="spellEnd"/>
            <w:r w:rsidRPr="00E71DCB">
              <w:t xml:space="preserve"> </w:t>
            </w:r>
            <w:proofErr w:type="spellStart"/>
            <w:r w:rsidRPr="00E71DCB">
              <w:t>density</w:t>
            </w:r>
            <w:proofErr w:type="spellEnd"/>
            <w:r w:rsidRPr="00E71DCB">
              <w:t xml:space="preserve"> (</w:t>
            </w:r>
            <w:proofErr w:type="gramStart"/>
            <w:r w:rsidRPr="00E71DCB">
              <w:t xml:space="preserve">TD)   </w:t>
            </w:r>
            <w:proofErr w:type="gramEnd"/>
            <w:r w:rsidRPr="00E71DCB">
              <w:t xml:space="preserve"> </w:t>
            </w:r>
          </w:p>
        </w:tc>
        <w:tc>
          <w:tcPr>
            <w:tcW w:w="1940" w:type="dxa"/>
            <w:hideMark/>
          </w:tcPr>
          <w:p w14:paraId="167207DE" w14:textId="6D106344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0</w:t>
            </w:r>
            <w:r w:rsidR="004906C4">
              <w:t>,</w:t>
            </w:r>
            <w:r w:rsidRPr="008E62AC">
              <w:t>83 g/</w:t>
            </w:r>
            <w:proofErr w:type="spellStart"/>
            <w:r w:rsidRPr="008E62AC">
              <w:t>mL</w:t>
            </w:r>
            <w:proofErr w:type="spellEnd"/>
          </w:p>
        </w:tc>
      </w:tr>
      <w:tr w:rsidR="00E71DCB" w:rsidRPr="008E62AC" w14:paraId="0391749D" w14:textId="77777777" w:rsidTr="0032093E">
        <w:trPr>
          <w:jc w:val="center"/>
        </w:trPr>
        <w:tc>
          <w:tcPr>
            <w:tcW w:w="3924" w:type="dxa"/>
            <w:hideMark/>
          </w:tcPr>
          <w:p w14:paraId="5874AFB2" w14:textId="4BA6ECBA" w:rsidR="00E71DCB" w:rsidRPr="00E71DCB" w:rsidRDefault="00E71DCB" w:rsidP="0024780E">
            <w:pPr>
              <w:pStyle w:val="NormalWeb"/>
              <w:spacing w:line="360" w:lineRule="auto"/>
              <w:jc w:val="center"/>
            </w:pPr>
            <w:proofErr w:type="spellStart"/>
            <w:r w:rsidRPr="00E71DCB">
              <w:t>Average</w:t>
            </w:r>
            <w:proofErr w:type="spellEnd"/>
            <w:r w:rsidRPr="00E71DCB">
              <w:t xml:space="preserve"> </w:t>
            </w:r>
            <w:proofErr w:type="spellStart"/>
            <w:r w:rsidRPr="00E71DCB">
              <w:t>diameter</w:t>
            </w:r>
            <w:proofErr w:type="spellEnd"/>
            <w:r w:rsidRPr="00E71DCB">
              <w:t xml:space="preserve">    </w:t>
            </w:r>
          </w:p>
        </w:tc>
        <w:tc>
          <w:tcPr>
            <w:tcW w:w="1940" w:type="dxa"/>
            <w:hideMark/>
          </w:tcPr>
          <w:p w14:paraId="0F85300F" w14:textId="57C77341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1</w:t>
            </w:r>
            <w:r w:rsidR="004906C4">
              <w:t>,</w:t>
            </w:r>
            <w:r w:rsidRPr="008E62AC">
              <w:t>27 mm</w:t>
            </w:r>
          </w:p>
        </w:tc>
      </w:tr>
      <w:tr w:rsidR="00E71DCB" w:rsidRPr="008E62AC" w14:paraId="2CFE4229" w14:textId="77777777" w:rsidTr="0032093E">
        <w:trPr>
          <w:jc w:val="center"/>
        </w:trPr>
        <w:tc>
          <w:tcPr>
            <w:tcW w:w="3924" w:type="dxa"/>
          </w:tcPr>
          <w:p w14:paraId="7E33513F" w14:textId="0A8640F1" w:rsidR="00E71DCB" w:rsidRPr="00E71DCB" w:rsidRDefault="00E71DCB" w:rsidP="0024780E">
            <w:pPr>
              <w:pStyle w:val="NormalWeb"/>
              <w:spacing w:line="360" w:lineRule="auto"/>
              <w:jc w:val="center"/>
            </w:pPr>
            <w:proofErr w:type="spellStart"/>
            <w:r w:rsidRPr="00E71DCB">
              <w:t>Sphericity</w:t>
            </w:r>
            <w:proofErr w:type="spellEnd"/>
            <w:r w:rsidRPr="00E71DCB">
              <w:t xml:space="preserve"> </w:t>
            </w:r>
            <w:proofErr w:type="spellStart"/>
            <w:r w:rsidRPr="00E71DCB">
              <w:t>factor</w:t>
            </w:r>
            <w:proofErr w:type="spellEnd"/>
            <w:r w:rsidRPr="00E71DCB">
              <w:t xml:space="preserve"> (</w:t>
            </w:r>
            <w:proofErr w:type="gramStart"/>
            <w:r w:rsidRPr="00E71DCB">
              <w:t xml:space="preserve">SF)   </w:t>
            </w:r>
            <w:proofErr w:type="gramEnd"/>
            <w:r w:rsidRPr="00E71DCB">
              <w:t xml:space="preserve"> </w:t>
            </w:r>
          </w:p>
        </w:tc>
        <w:tc>
          <w:tcPr>
            <w:tcW w:w="1940" w:type="dxa"/>
          </w:tcPr>
          <w:p w14:paraId="11C0D028" w14:textId="6AF33716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0</w:t>
            </w:r>
            <w:r w:rsidR="004906C4">
              <w:t>,</w:t>
            </w:r>
            <w:r w:rsidRPr="008E62AC">
              <w:t>24</w:t>
            </w:r>
          </w:p>
        </w:tc>
      </w:tr>
      <w:tr w:rsidR="00E71DCB" w:rsidRPr="008E62AC" w14:paraId="60F4B60B" w14:textId="77777777" w:rsidTr="0032093E">
        <w:trPr>
          <w:jc w:val="center"/>
        </w:trPr>
        <w:tc>
          <w:tcPr>
            <w:tcW w:w="3924" w:type="dxa"/>
            <w:hideMark/>
          </w:tcPr>
          <w:p w14:paraId="313CD824" w14:textId="5948BAF3" w:rsidR="00E71DCB" w:rsidRPr="00E71DCB" w:rsidRDefault="00E71DCB" w:rsidP="0024780E">
            <w:pPr>
              <w:pStyle w:val="NormalWeb"/>
              <w:spacing w:line="360" w:lineRule="auto"/>
              <w:jc w:val="center"/>
              <w:rPr>
                <w:highlight w:val="yellow"/>
              </w:rPr>
            </w:pPr>
            <w:proofErr w:type="spellStart"/>
            <w:r w:rsidRPr="00E71DCB">
              <w:t>Compressibility</w:t>
            </w:r>
            <w:proofErr w:type="spellEnd"/>
            <w:r w:rsidRPr="00E71DCB">
              <w:t xml:space="preserve"> index (</w:t>
            </w:r>
            <w:proofErr w:type="gramStart"/>
            <w:r w:rsidRPr="00E71DCB">
              <w:t xml:space="preserve">Carr)   </w:t>
            </w:r>
            <w:proofErr w:type="gramEnd"/>
            <w:r w:rsidRPr="00E71DCB">
              <w:t xml:space="preserve"> </w:t>
            </w:r>
          </w:p>
        </w:tc>
        <w:tc>
          <w:tcPr>
            <w:tcW w:w="1940" w:type="dxa"/>
            <w:hideMark/>
          </w:tcPr>
          <w:p w14:paraId="063CAE3B" w14:textId="1FBF9FF7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3</w:t>
            </w:r>
            <w:r w:rsidR="004906C4">
              <w:t>,</w:t>
            </w:r>
            <w:r w:rsidRPr="008E62AC">
              <w:t>61 %</w:t>
            </w:r>
          </w:p>
        </w:tc>
      </w:tr>
      <w:tr w:rsidR="00E71DCB" w:rsidRPr="008E62AC" w14:paraId="7F7C9ABF" w14:textId="77777777" w:rsidTr="0032093E">
        <w:trPr>
          <w:jc w:val="center"/>
        </w:trPr>
        <w:tc>
          <w:tcPr>
            <w:tcW w:w="3924" w:type="dxa"/>
            <w:hideMark/>
          </w:tcPr>
          <w:p w14:paraId="26F8AF12" w14:textId="7C36CD35" w:rsidR="00E71DCB" w:rsidRPr="00E71DCB" w:rsidRDefault="00E71DCB" w:rsidP="0024780E">
            <w:pPr>
              <w:pStyle w:val="NormalWeb"/>
              <w:spacing w:line="360" w:lineRule="auto"/>
              <w:jc w:val="center"/>
              <w:rPr>
                <w:highlight w:val="yellow"/>
              </w:rPr>
            </w:pPr>
            <w:r w:rsidRPr="00E71DCB">
              <w:t xml:space="preserve">Hausner </w:t>
            </w:r>
            <w:proofErr w:type="spellStart"/>
            <w:r w:rsidRPr="00E71DCB">
              <w:t>factor</w:t>
            </w:r>
            <w:proofErr w:type="spellEnd"/>
            <w:r w:rsidRPr="00E71DCB">
              <w:t xml:space="preserve">    </w:t>
            </w:r>
          </w:p>
        </w:tc>
        <w:tc>
          <w:tcPr>
            <w:tcW w:w="1940" w:type="dxa"/>
            <w:hideMark/>
          </w:tcPr>
          <w:p w14:paraId="2D610EAC" w14:textId="67DF69FD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1</w:t>
            </w:r>
            <w:r w:rsidR="004906C4">
              <w:t>,</w:t>
            </w:r>
            <w:r w:rsidRPr="008E62AC">
              <w:t>04</w:t>
            </w:r>
          </w:p>
        </w:tc>
      </w:tr>
      <w:tr w:rsidR="00E71DCB" w:rsidRPr="008E62AC" w14:paraId="2EC91859" w14:textId="77777777" w:rsidTr="0032093E">
        <w:trPr>
          <w:jc w:val="center"/>
        </w:trPr>
        <w:tc>
          <w:tcPr>
            <w:tcW w:w="3924" w:type="dxa"/>
            <w:hideMark/>
          </w:tcPr>
          <w:p w14:paraId="6A498F6A" w14:textId="7E082ED3" w:rsidR="00E71DCB" w:rsidRPr="00E71DCB" w:rsidRDefault="00E71DCB" w:rsidP="0024780E">
            <w:pPr>
              <w:pStyle w:val="NormalWeb"/>
              <w:spacing w:line="360" w:lineRule="auto"/>
              <w:jc w:val="center"/>
            </w:pPr>
            <w:proofErr w:type="spellStart"/>
            <w:r w:rsidRPr="00E71DCB">
              <w:t>Moisture</w:t>
            </w:r>
            <w:proofErr w:type="spellEnd"/>
            <w:r w:rsidRPr="00E71DCB">
              <w:t xml:space="preserve"> </w:t>
            </w:r>
            <w:proofErr w:type="spellStart"/>
            <w:r w:rsidRPr="00E71DCB">
              <w:t>content</w:t>
            </w:r>
            <w:proofErr w:type="spellEnd"/>
            <w:r w:rsidRPr="00E71DCB">
              <w:t xml:space="preserve">    </w:t>
            </w:r>
          </w:p>
        </w:tc>
        <w:tc>
          <w:tcPr>
            <w:tcW w:w="1940" w:type="dxa"/>
            <w:hideMark/>
          </w:tcPr>
          <w:p w14:paraId="230FC36E" w14:textId="5D5809F4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17</w:t>
            </w:r>
            <w:r w:rsidR="004906C4">
              <w:t>,</w:t>
            </w:r>
            <w:r w:rsidRPr="008E62AC">
              <w:t>58 %</w:t>
            </w:r>
          </w:p>
        </w:tc>
      </w:tr>
      <w:tr w:rsidR="00E71DCB" w:rsidRPr="008E62AC" w14:paraId="6FB0BC3F" w14:textId="77777777" w:rsidTr="0032093E">
        <w:trPr>
          <w:jc w:val="center"/>
        </w:trPr>
        <w:tc>
          <w:tcPr>
            <w:tcW w:w="3924" w:type="dxa"/>
            <w:hideMark/>
          </w:tcPr>
          <w:p w14:paraId="73B7C973" w14:textId="228F0E35" w:rsidR="00E71DCB" w:rsidRPr="00E71DCB" w:rsidRDefault="00E71DCB" w:rsidP="0024780E">
            <w:pPr>
              <w:pStyle w:val="NormalWeb"/>
              <w:spacing w:line="360" w:lineRule="auto"/>
              <w:jc w:val="center"/>
            </w:pPr>
            <w:proofErr w:type="spellStart"/>
            <w:r w:rsidRPr="00E71DCB">
              <w:t>Water</w:t>
            </w:r>
            <w:proofErr w:type="spellEnd"/>
            <w:r w:rsidRPr="00E71DCB">
              <w:t xml:space="preserve"> </w:t>
            </w:r>
            <w:proofErr w:type="spellStart"/>
            <w:r w:rsidRPr="00E71DCB">
              <w:t>activity</w:t>
            </w:r>
            <w:proofErr w:type="spellEnd"/>
            <w:r w:rsidRPr="00E71DCB">
              <w:t xml:space="preserve"> (</w:t>
            </w:r>
            <w:proofErr w:type="spellStart"/>
            <w:proofErr w:type="gramStart"/>
            <w:r w:rsidRPr="00E71DCB">
              <w:t>aw</w:t>
            </w:r>
            <w:proofErr w:type="spellEnd"/>
            <w:r w:rsidRPr="00E71DCB">
              <w:t xml:space="preserve">)   </w:t>
            </w:r>
            <w:proofErr w:type="gramEnd"/>
            <w:r w:rsidRPr="00E71DCB">
              <w:t xml:space="preserve"> </w:t>
            </w:r>
          </w:p>
        </w:tc>
        <w:tc>
          <w:tcPr>
            <w:tcW w:w="1940" w:type="dxa"/>
            <w:hideMark/>
          </w:tcPr>
          <w:p w14:paraId="6CB826AD" w14:textId="12ED2DFF" w:rsidR="00E71DCB" w:rsidRPr="008E62AC" w:rsidRDefault="00E71DCB" w:rsidP="0024780E">
            <w:pPr>
              <w:pStyle w:val="NormalWeb"/>
              <w:spacing w:line="360" w:lineRule="auto"/>
              <w:jc w:val="center"/>
            </w:pPr>
            <w:r w:rsidRPr="008E62AC">
              <w:t>0</w:t>
            </w:r>
            <w:r w:rsidR="004906C4">
              <w:t>,</w:t>
            </w:r>
            <w:r w:rsidRPr="008E62AC">
              <w:t>66</w:t>
            </w:r>
          </w:p>
        </w:tc>
      </w:tr>
    </w:tbl>
    <w:p w14:paraId="62AA2FD7" w14:textId="77777777" w:rsidR="000B66C4" w:rsidRPr="000B66C4" w:rsidRDefault="000B66C4" w:rsidP="0024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67B38" w14:textId="6B61FD5D" w:rsidR="00B31819" w:rsidRDefault="00B31819" w:rsidP="002478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6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41D9D0" wp14:editId="5E4DD24F">
            <wp:extent cx="3243304" cy="3233530"/>
            <wp:effectExtent l="0" t="0" r="0" b="5080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F45693B4-6704-182B-C79A-7A2774A1D2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F45693B4-6704-182B-C79A-7A2774A1D2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088" cy="3240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3583AB" w14:textId="7C942C5A" w:rsidR="00B31819" w:rsidRPr="00B31819" w:rsidRDefault="00B31819" w:rsidP="002478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Figure 1 –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Scanning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electron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microscope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(SEM)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images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1000×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magnification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alginate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sphere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containing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oregano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1819">
        <w:rPr>
          <w:rFonts w:ascii="Times New Roman" w:hAnsi="Times New Roman" w:cs="Times New Roman"/>
          <w:b/>
          <w:bCs/>
          <w:sz w:val="24"/>
          <w:szCs w:val="24"/>
        </w:rPr>
        <w:t>thyme</w:t>
      </w:r>
      <w:proofErr w:type="spellEnd"/>
      <w:r w:rsidRPr="00B318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19C28E" w14:textId="77777777" w:rsidR="00D23D0C" w:rsidRPr="00D23D0C" w:rsidRDefault="00D23D0C" w:rsidP="0024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594EB" w14:textId="77777777" w:rsidR="00B31819" w:rsidRPr="00036913" w:rsidRDefault="00B31819" w:rsidP="002478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Inhibition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zones (mm)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obtained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combination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oregano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thyme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essential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oils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encapsulated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concentration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20%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against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tested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bacterial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6913">
        <w:rPr>
          <w:rFonts w:ascii="Times New Roman" w:hAnsi="Times New Roman" w:cs="Times New Roman"/>
          <w:b/>
          <w:bCs/>
          <w:sz w:val="24"/>
          <w:szCs w:val="24"/>
        </w:rPr>
        <w:t>strains</w:t>
      </w:r>
      <w:proofErr w:type="spellEnd"/>
      <w:r w:rsidRPr="000369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elacomgrade"/>
        <w:tblW w:w="8075" w:type="dxa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1984"/>
      </w:tblGrid>
      <w:tr w:rsidR="00B31819" w14:paraId="08A4BD0D" w14:textId="77777777" w:rsidTr="0032093E">
        <w:tc>
          <w:tcPr>
            <w:tcW w:w="2547" w:type="dxa"/>
            <w:vAlign w:val="center"/>
          </w:tcPr>
          <w:p w14:paraId="4D7EE312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036913">
              <w:rPr>
                <w:b/>
                <w:bCs/>
              </w:rPr>
              <w:t>Bacterial</w:t>
            </w:r>
            <w:proofErr w:type="spellEnd"/>
            <w:r w:rsidRPr="00036913">
              <w:rPr>
                <w:b/>
                <w:bCs/>
              </w:rPr>
              <w:t xml:space="preserve"> </w:t>
            </w:r>
            <w:proofErr w:type="spellStart"/>
            <w:r w:rsidRPr="00036913">
              <w:rPr>
                <w:b/>
                <w:bCs/>
              </w:rPr>
              <w:t>strain</w:t>
            </w:r>
            <w:proofErr w:type="spellEnd"/>
          </w:p>
        </w:tc>
        <w:tc>
          <w:tcPr>
            <w:tcW w:w="1843" w:type="dxa"/>
            <w:vAlign w:val="center"/>
          </w:tcPr>
          <w:p w14:paraId="17DA125E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036913">
              <w:rPr>
                <w:b/>
                <w:bCs/>
              </w:rPr>
              <w:t xml:space="preserve">Animal </w:t>
            </w:r>
            <w:proofErr w:type="spellStart"/>
            <w:r w:rsidRPr="00036913">
              <w:rPr>
                <w:b/>
                <w:bCs/>
              </w:rPr>
              <w:t>species</w:t>
            </w:r>
            <w:proofErr w:type="spellEnd"/>
          </w:p>
        </w:tc>
        <w:tc>
          <w:tcPr>
            <w:tcW w:w="1701" w:type="dxa"/>
            <w:vAlign w:val="center"/>
          </w:tcPr>
          <w:p w14:paraId="23FF580C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036913">
              <w:rPr>
                <w:b/>
                <w:bCs/>
              </w:rPr>
              <w:t>Identification</w:t>
            </w:r>
            <w:proofErr w:type="spellEnd"/>
          </w:p>
        </w:tc>
        <w:tc>
          <w:tcPr>
            <w:tcW w:w="1984" w:type="dxa"/>
            <w:vAlign w:val="center"/>
          </w:tcPr>
          <w:p w14:paraId="15E18B2B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036913">
              <w:rPr>
                <w:b/>
                <w:bCs/>
              </w:rPr>
              <w:t>Inhibition</w:t>
            </w:r>
            <w:proofErr w:type="spellEnd"/>
            <w:r w:rsidRPr="00036913">
              <w:rPr>
                <w:b/>
                <w:bCs/>
              </w:rPr>
              <w:t xml:space="preserve"> zone (mm)</w:t>
            </w:r>
          </w:p>
        </w:tc>
      </w:tr>
      <w:tr w:rsidR="00B31819" w14:paraId="554D43FE" w14:textId="77777777" w:rsidTr="0032093E">
        <w:tc>
          <w:tcPr>
            <w:tcW w:w="2547" w:type="dxa"/>
            <w:vAlign w:val="center"/>
          </w:tcPr>
          <w:p w14:paraId="32F559B1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rPr>
                <w:i/>
                <w:iCs/>
              </w:rPr>
              <w:t>Escherichia coli</w:t>
            </w:r>
          </w:p>
        </w:tc>
        <w:tc>
          <w:tcPr>
            <w:tcW w:w="1843" w:type="dxa"/>
            <w:vAlign w:val="center"/>
          </w:tcPr>
          <w:p w14:paraId="097E9719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036913">
              <w:t>Cat</w:t>
            </w:r>
            <w:proofErr w:type="spellEnd"/>
          </w:p>
        </w:tc>
        <w:tc>
          <w:tcPr>
            <w:tcW w:w="1701" w:type="dxa"/>
            <w:vAlign w:val="center"/>
          </w:tcPr>
          <w:p w14:paraId="58774B9C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t>ECG 13</w:t>
            </w:r>
          </w:p>
        </w:tc>
        <w:tc>
          <w:tcPr>
            <w:tcW w:w="1984" w:type="dxa"/>
            <w:vAlign w:val="center"/>
          </w:tcPr>
          <w:p w14:paraId="739C7BFB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t>14</w:t>
            </w:r>
          </w:p>
        </w:tc>
      </w:tr>
      <w:tr w:rsidR="00B31819" w14:paraId="0231F282" w14:textId="77777777" w:rsidTr="0032093E">
        <w:tc>
          <w:tcPr>
            <w:tcW w:w="2547" w:type="dxa"/>
            <w:vAlign w:val="center"/>
          </w:tcPr>
          <w:p w14:paraId="10365233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rPr>
                <w:i/>
                <w:iCs/>
              </w:rPr>
              <w:t>Escherichia coli</w:t>
            </w:r>
          </w:p>
        </w:tc>
        <w:tc>
          <w:tcPr>
            <w:tcW w:w="1843" w:type="dxa"/>
            <w:vAlign w:val="center"/>
          </w:tcPr>
          <w:p w14:paraId="0EFC29B9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0004E2">
              <w:t>Dog</w:t>
            </w:r>
          </w:p>
        </w:tc>
        <w:tc>
          <w:tcPr>
            <w:tcW w:w="1701" w:type="dxa"/>
            <w:vAlign w:val="center"/>
          </w:tcPr>
          <w:p w14:paraId="7AD964B6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t>ECC 49</w:t>
            </w:r>
          </w:p>
        </w:tc>
        <w:tc>
          <w:tcPr>
            <w:tcW w:w="1984" w:type="dxa"/>
            <w:vAlign w:val="center"/>
          </w:tcPr>
          <w:p w14:paraId="00F99767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t>16</w:t>
            </w:r>
          </w:p>
        </w:tc>
      </w:tr>
      <w:tr w:rsidR="00B31819" w14:paraId="08FAC3DF" w14:textId="77777777" w:rsidTr="0032093E">
        <w:tc>
          <w:tcPr>
            <w:tcW w:w="2547" w:type="dxa"/>
            <w:vAlign w:val="center"/>
          </w:tcPr>
          <w:p w14:paraId="51311F85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6D0A53">
              <w:rPr>
                <w:i/>
                <w:iCs/>
              </w:rPr>
              <w:t>Klebsiella</w:t>
            </w:r>
            <w:proofErr w:type="spellEnd"/>
            <w:r w:rsidRPr="006D0A53">
              <w:rPr>
                <w:i/>
                <w:iCs/>
              </w:rPr>
              <w:t xml:space="preserve"> </w:t>
            </w:r>
            <w:proofErr w:type="spellStart"/>
            <w:r w:rsidRPr="006D0A53">
              <w:rPr>
                <w:i/>
                <w:iCs/>
              </w:rPr>
              <w:t>pneumoniae</w:t>
            </w:r>
            <w:proofErr w:type="spellEnd"/>
          </w:p>
        </w:tc>
        <w:tc>
          <w:tcPr>
            <w:tcW w:w="1843" w:type="dxa"/>
            <w:vAlign w:val="center"/>
          </w:tcPr>
          <w:p w14:paraId="649322CB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0004E2">
              <w:t>Dog</w:t>
            </w:r>
          </w:p>
        </w:tc>
        <w:tc>
          <w:tcPr>
            <w:tcW w:w="1701" w:type="dxa"/>
            <w:vAlign w:val="center"/>
          </w:tcPr>
          <w:p w14:paraId="7BAA9F6F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t>KP 04</w:t>
            </w:r>
          </w:p>
        </w:tc>
        <w:tc>
          <w:tcPr>
            <w:tcW w:w="1984" w:type="dxa"/>
            <w:vAlign w:val="center"/>
          </w:tcPr>
          <w:p w14:paraId="5BB34F6C" w14:textId="77777777" w:rsidR="00B31819" w:rsidRDefault="00B31819" w:rsidP="0024780E">
            <w:pPr>
              <w:pStyle w:val="NormalWeb"/>
              <w:spacing w:line="360" w:lineRule="auto"/>
              <w:jc w:val="center"/>
              <w:rPr>
                <w:b/>
                <w:bCs/>
              </w:rPr>
            </w:pPr>
            <w:r w:rsidRPr="006D0A53">
              <w:t>12</w:t>
            </w:r>
          </w:p>
        </w:tc>
      </w:tr>
    </w:tbl>
    <w:p w14:paraId="60BC809E" w14:textId="77777777" w:rsidR="0008281C" w:rsidRDefault="0008281C" w:rsidP="0024780E"/>
    <w:sectPr w:rsidR="0008281C" w:rsidSect="00983FFF">
      <w:type w:val="continuous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EF5B" w14:textId="77777777" w:rsidR="00DF054C" w:rsidRDefault="00DF054C" w:rsidP="00AB3201">
      <w:pPr>
        <w:spacing w:after="0" w:line="240" w:lineRule="auto"/>
      </w:pPr>
      <w:r>
        <w:separator/>
      </w:r>
    </w:p>
  </w:endnote>
  <w:endnote w:type="continuationSeparator" w:id="0">
    <w:p w14:paraId="05429DDB" w14:textId="77777777" w:rsidR="00DF054C" w:rsidRDefault="00DF054C" w:rsidP="00AB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215770"/>
      <w:docPartObj>
        <w:docPartGallery w:val="Page Numbers (Bottom of Page)"/>
        <w:docPartUnique/>
      </w:docPartObj>
    </w:sdtPr>
    <w:sdtContent>
      <w:p w14:paraId="1F7A161B" w14:textId="303E8414" w:rsidR="00AB3201" w:rsidRDefault="00AB32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095F1" w14:textId="77777777" w:rsidR="00AB3201" w:rsidRDefault="00AB32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EBC3" w14:textId="77777777" w:rsidR="00DF054C" w:rsidRDefault="00DF054C" w:rsidP="00AB3201">
      <w:pPr>
        <w:spacing w:after="0" w:line="240" w:lineRule="auto"/>
      </w:pPr>
      <w:r>
        <w:separator/>
      </w:r>
    </w:p>
  </w:footnote>
  <w:footnote w:type="continuationSeparator" w:id="0">
    <w:p w14:paraId="68E5EAA3" w14:textId="77777777" w:rsidR="00DF054C" w:rsidRDefault="00DF054C" w:rsidP="00AB3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6613"/>
    <w:multiLevelType w:val="hybridMultilevel"/>
    <w:tmpl w:val="7856F3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D8"/>
    <w:rsid w:val="000004E2"/>
    <w:rsid w:val="00036913"/>
    <w:rsid w:val="00080122"/>
    <w:rsid w:val="0008281C"/>
    <w:rsid w:val="000B66C4"/>
    <w:rsid w:val="000C0571"/>
    <w:rsid w:val="000F1C6C"/>
    <w:rsid w:val="00214E36"/>
    <w:rsid w:val="00235CAD"/>
    <w:rsid w:val="00235D0A"/>
    <w:rsid w:val="00241772"/>
    <w:rsid w:val="0024780E"/>
    <w:rsid w:val="002A6F0B"/>
    <w:rsid w:val="002B587F"/>
    <w:rsid w:val="003056DB"/>
    <w:rsid w:val="00447895"/>
    <w:rsid w:val="004804C5"/>
    <w:rsid w:val="004868C0"/>
    <w:rsid w:val="004906C4"/>
    <w:rsid w:val="00567926"/>
    <w:rsid w:val="00634DE5"/>
    <w:rsid w:val="00674BD7"/>
    <w:rsid w:val="006A24E4"/>
    <w:rsid w:val="006B7CD5"/>
    <w:rsid w:val="0071010E"/>
    <w:rsid w:val="00791E02"/>
    <w:rsid w:val="007D13C3"/>
    <w:rsid w:val="008564A8"/>
    <w:rsid w:val="008B18C3"/>
    <w:rsid w:val="008D050B"/>
    <w:rsid w:val="00914DC3"/>
    <w:rsid w:val="00934973"/>
    <w:rsid w:val="00977904"/>
    <w:rsid w:val="00983FFF"/>
    <w:rsid w:val="00A25B32"/>
    <w:rsid w:val="00A92990"/>
    <w:rsid w:val="00AB3201"/>
    <w:rsid w:val="00AD4FB6"/>
    <w:rsid w:val="00B23FD8"/>
    <w:rsid w:val="00B31819"/>
    <w:rsid w:val="00B97DBC"/>
    <w:rsid w:val="00C22E12"/>
    <w:rsid w:val="00C4648A"/>
    <w:rsid w:val="00D029F2"/>
    <w:rsid w:val="00D16021"/>
    <w:rsid w:val="00D23D0C"/>
    <w:rsid w:val="00D57465"/>
    <w:rsid w:val="00D67C48"/>
    <w:rsid w:val="00D8523E"/>
    <w:rsid w:val="00DD29BD"/>
    <w:rsid w:val="00DE2790"/>
    <w:rsid w:val="00DF054C"/>
    <w:rsid w:val="00E2436E"/>
    <w:rsid w:val="00E71DCB"/>
    <w:rsid w:val="00E83B0B"/>
    <w:rsid w:val="00ED5043"/>
    <w:rsid w:val="00ED594C"/>
    <w:rsid w:val="00EF14C2"/>
    <w:rsid w:val="00F44BBC"/>
    <w:rsid w:val="00F54BB9"/>
    <w:rsid w:val="00F67F1A"/>
    <w:rsid w:val="00F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251C"/>
  <w15:chartTrackingRefBased/>
  <w15:docId w15:val="{7CDB22F9-6686-4B0C-BD0B-18B40AB5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3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3F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3F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3F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3F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3F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3F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3F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3F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3F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3FD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3F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23FD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F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2E12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D5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link w:val="Estilo2Char"/>
    <w:qFormat/>
    <w:rsid w:val="00D57465"/>
    <w:pPr>
      <w:spacing w:after="0" w:line="360" w:lineRule="auto"/>
      <w:jc w:val="both"/>
    </w:pPr>
    <w:rPr>
      <w:rFonts w:ascii="Times New Roman" w:eastAsia="Calibri" w:hAnsi="Times New Roman" w:cs="Times New Roman"/>
      <w:b/>
      <w:bCs/>
      <w:spacing w:val="4"/>
      <w:kern w:val="0"/>
      <w:sz w:val="24"/>
      <w:szCs w:val="24"/>
      <w14:ligatures w14:val="none"/>
    </w:rPr>
  </w:style>
  <w:style w:type="character" w:customStyle="1" w:styleId="Estilo2Char">
    <w:name w:val="Estilo2 Char"/>
    <w:basedOn w:val="Fontepargpadro"/>
    <w:link w:val="Estilo2"/>
    <w:rsid w:val="00D57465"/>
    <w:rPr>
      <w:rFonts w:ascii="Times New Roman" w:eastAsia="Calibri" w:hAnsi="Times New Roman" w:cs="Times New Roman"/>
      <w:b/>
      <w:bCs/>
      <w:spacing w:val="4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B3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3201"/>
  </w:style>
  <w:style w:type="paragraph" w:styleId="Rodap">
    <w:name w:val="footer"/>
    <w:basedOn w:val="Normal"/>
    <w:link w:val="RodapChar"/>
    <w:uiPriority w:val="99"/>
    <w:unhideWhenUsed/>
    <w:rsid w:val="00AB3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3201"/>
  </w:style>
  <w:style w:type="character" w:styleId="Nmerodelinha">
    <w:name w:val="line number"/>
    <w:basedOn w:val="Fontepargpadro"/>
    <w:uiPriority w:val="99"/>
    <w:semiHidden/>
    <w:unhideWhenUsed/>
    <w:rsid w:val="00AB3201"/>
  </w:style>
  <w:style w:type="character" w:styleId="HiperlinkVisitado">
    <w:name w:val="FollowedHyperlink"/>
    <w:basedOn w:val="Fontepargpadro"/>
    <w:uiPriority w:val="99"/>
    <w:semiHidden/>
    <w:unhideWhenUsed/>
    <w:rsid w:val="00710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ylenamedeirossimoes@gmail.com" TargetMode="External"/><Relationship Id="rId18" Type="http://schemas.openxmlformats.org/officeDocument/2006/relationships/hyperlink" Target="https://orcid.org/0000-0001-5563-7955" TargetMode="External"/><Relationship Id="rId26" Type="http://schemas.openxmlformats.org/officeDocument/2006/relationships/hyperlink" Target="https://orcid.org/0000-0002-7466-9933" TargetMode="External"/><Relationship Id="rId39" Type="http://schemas.openxmlformats.org/officeDocument/2006/relationships/hyperlink" Target="https://doi.org/10.1080/02652048.2017.1403495" TargetMode="External"/><Relationship Id="rId21" Type="http://schemas.openxmlformats.org/officeDocument/2006/relationships/hyperlink" Target="mailto:henriqueanizio7@gmail.com" TargetMode="External"/><Relationship Id="rId34" Type="http://schemas.openxmlformats.org/officeDocument/2006/relationships/hyperlink" Target="https://doi.org/10.33448/rsd-v10i12.20171" TargetMode="External"/><Relationship Id="rId42" Type="http://schemas.openxmlformats.org/officeDocument/2006/relationships/hyperlink" Target="https://doi.org/10.3390/pr9030537" TargetMode="External"/><Relationship Id="rId47" Type="http://schemas.openxmlformats.org/officeDocument/2006/relationships/hyperlink" Target="https://doi.org/10.1016/j.lwt.2018.06.056" TargetMode="External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rcid.org/0000-0001-5571-1596" TargetMode="External"/><Relationship Id="rId29" Type="http://schemas.openxmlformats.org/officeDocument/2006/relationships/hyperlink" Target="https://doi.org/10.1016/j.tifs.2015.12.001" TargetMode="External"/><Relationship Id="rId11" Type="http://schemas.openxmlformats.org/officeDocument/2006/relationships/hyperlink" Target="mailto:bernadetes672@gmail.com" TargetMode="External"/><Relationship Id="rId24" Type="http://schemas.openxmlformats.org/officeDocument/2006/relationships/hyperlink" Target="https://orcid.org/0000-0003-1412-4787" TargetMode="External"/><Relationship Id="rId32" Type="http://schemas.openxmlformats.org/officeDocument/2006/relationships/hyperlink" Target="https://doi.org/10.3390/ani14111532" TargetMode="External"/><Relationship Id="rId37" Type="http://schemas.openxmlformats.org/officeDocument/2006/relationships/hyperlink" Target="https://doi.org/10.3390/molecules28073215" TargetMode="External"/><Relationship Id="rId40" Type="http://schemas.openxmlformats.org/officeDocument/2006/relationships/hyperlink" Target="https://doi.org/10.1017/S1466252322000093" TargetMode="External"/><Relationship Id="rId45" Type="http://schemas.openxmlformats.org/officeDocument/2006/relationships/hyperlink" Target="https://doi.org/10.3389/fcimb.2025.158241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llenaasouzaa@gmail.com" TargetMode="External"/><Relationship Id="rId23" Type="http://schemas.openxmlformats.org/officeDocument/2006/relationships/hyperlink" Target="mailto:Wladymyrjb@gmail.com" TargetMode="External"/><Relationship Id="rId28" Type="http://schemas.openxmlformats.org/officeDocument/2006/relationships/hyperlink" Target="https://doi.org/10.1002/app.33821" TargetMode="External"/><Relationship Id="rId36" Type="http://schemas.openxmlformats.org/officeDocument/2006/relationships/hyperlink" Target="https://doi.org/10.47750/jptcp.2023.30.07.051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orcid.org/0000-0003-4234-4752" TargetMode="External"/><Relationship Id="rId19" Type="http://schemas.openxmlformats.org/officeDocument/2006/relationships/hyperlink" Target="mailto:medeirosallice22@gmail.com" TargetMode="External"/><Relationship Id="rId31" Type="http://schemas.openxmlformats.org/officeDocument/2006/relationships/hyperlink" Target="https://doi.org/10.1590/1808-1657001192012" TargetMode="External"/><Relationship Id="rId44" Type="http://schemas.openxmlformats.org/officeDocument/2006/relationships/hyperlink" Target="https://doi.org/10.1016/j.diagmicrobio.2025.117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illa.torres.cb@gmail.com" TargetMode="External"/><Relationship Id="rId14" Type="http://schemas.openxmlformats.org/officeDocument/2006/relationships/hyperlink" Target="https://orcid.org/0000-0002-7981-7608" TargetMode="External"/><Relationship Id="rId22" Type="http://schemas.openxmlformats.org/officeDocument/2006/relationships/hyperlink" Target="https://orcid.org/0000-0002-3931-8265" TargetMode="External"/><Relationship Id="rId27" Type="http://schemas.openxmlformats.org/officeDocument/2006/relationships/hyperlink" Target="mailto:abrahao.farm@gmail.com" TargetMode="External"/><Relationship Id="rId30" Type="http://schemas.openxmlformats.org/officeDocument/2006/relationships/hyperlink" Target="https://doi.org/10.1111/1541-4337.12179" TargetMode="External"/><Relationship Id="rId35" Type="http://schemas.openxmlformats.org/officeDocument/2006/relationships/hyperlink" Target="https://doi.org/10.1080/07373937.2014.900502" TargetMode="External"/><Relationship Id="rId43" Type="http://schemas.openxmlformats.org/officeDocument/2006/relationships/hyperlink" Target="https://doi.org/10.3390/ani15111547" TargetMode="External"/><Relationship Id="rId48" Type="http://schemas.openxmlformats.org/officeDocument/2006/relationships/image" Target="media/image1.jpeg"/><Relationship Id="rId8" Type="http://schemas.openxmlformats.org/officeDocument/2006/relationships/hyperlink" Target="https://orcid.org/0000-0002-5686-18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rcid.org/0000-0002-0654-4733" TargetMode="External"/><Relationship Id="rId17" Type="http://schemas.openxmlformats.org/officeDocument/2006/relationships/hyperlink" Target="mailto:fernandacariri20@gmail.com" TargetMode="External"/><Relationship Id="rId25" Type="http://schemas.openxmlformats.org/officeDocument/2006/relationships/hyperlink" Target="mailto:albaniza.alves@gmail.com" TargetMode="External"/><Relationship Id="rId33" Type="http://schemas.openxmlformats.org/officeDocument/2006/relationships/hyperlink" Target="https://doi.org/10.1002/admi.202100809" TargetMode="External"/><Relationship Id="rId38" Type="http://schemas.openxmlformats.org/officeDocument/2006/relationships/hyperlink" Target="https://doi.org/10.1016/j.cis.2022.102744" TargetMode="External"/><Relationship Id="rId46" Type="http://schemas.openxmlformats.org/officeDocument/2006/relationships/hyperlink" Target="https://doi.org/10.1590/1678-4162-10599" TargetMode="External"/><Relationship Id="rId20" Type="http://schemas.openxmlformats.org/officeDocument/2006/relationships/hyperlink" Target="https://orcid.org/0000-0003-0843-2142" TargetMode="External"/><Relationship Id="rId41" Type="http://schemas.openxmlformats.org/officeDocument/2006/relationships/hyperlink" Target="https://doi.org/10.1080/09205063.2023.22308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5568</Words>
  <Characters>30069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2026-04-15T21:32:00Z</dcterms:created>
  <dcterms:modified xsi:type="dcterms:W3CDTF">2026-04-15T21:32:00Z</dcterms:modified>
</cp:coreProperties>
</file>